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rPr>
      </w:pPr>
      <w:bookmarkStart w:id="0" w:name="_Toc85209825"/>
      <w:bookmarkStart w:id="1" w:name="_Toc102813319"/>
      <w:bookmarkStart w:id="2" w:name="_Toc19863"/>
    </w:p>
    <w:p>
      <w:pPr>
        <w:rPr>
          <w:rFonts w:hint="eastAsia" w:ascii="宋体" w:hAnsi="宋体"/>
        </w:rPr>
      </w:pPr>
    </w:p>
    <w:p>
      <w:pPr>
        <w:rPr>
          <w:rFonts w:hint="eastAsia" w:ascii="宋体" w:hAnsi="宋体"/>
        </w:rPr>
      </w:pPr>
    </w:p>
    <w:p>
      <w:pPr>
        <w:rPr>
          <w:rFonts w:hint="eastAsia" w:ascii="宋体" w:hAnsi="宋体"/>
        </w:rPr>
      </w:pPr>
    </w:p>
    <w:p>
      <w:pPr>
        <w:rPr>
          <w:rFonts w:hint="eastAsia" w:ascii="宋体" w:hAnsi="宋体"/>
        </w:rPr>
      </w:pPr>
    </w:p>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楷体" w:hAnsi="楷体" w:eastAsia="楷体" w:cs="楷体"/>
          <w:b w:val="0"/>
          <w:bCs/>
          <w:sz w:val="44"/>
          <w:szCs w:val="44"/>
        </w:rPr>
      </w:pPr>
      <w:r>
        <w:rPr>
          <w:rFonts w:hint="eastAsia" w:ascii="楷体" w:hAnsi="楷体" w:eastAsia="楷体" w:cs="楷体"/>
          <w:b w:val="0"/>
          <w:bCs/>
          <w:sz w:val="44"/>
          <w:szCs w:val="44"/>
        </w:rPr>
        <w:t>中华人民共和国海事局</w:t>
      </w:r>
    </w:p>
    <w:p>
      <w:pPr>
        <w:jc w:val="center"/>
        <w:rPr>
          <w:rFonts w:hint="eastAsia" w:ascii="宋体" w:hAnsi="宋体"/>
        </w:rPr>
      </w:pPr>
    </w:p>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宋体" w:hAnsi="宋体"/>
          <w:b/>
          <w:sz w:val="52"/>
          <w:szCs w:val="52"/>
        </w:rPr>
      </w:pPr>
      <w:r>
        <w:rPr>
          <w:rFonts w:hint="eastAsia" w:ascii="宋体" w:hAnsi="宋体"/>
          <w:b/>
          <w:sz w:val="52"/>
          <w:szCs w:val="52"/>
        </w:rPr>
        <w:t>船舶与海上设施法定检验技术规则</w:t>
      </w:r>
    </w:p>
    <w:p>
      <w:pPr>
        <w:jc w:val="center"/>
        <w:rPr>
          <w:rFonts w:hint="eastAsia" w:ascii="宋体" w:hAnsi="宋体"/>
        </w:rPr>
      </w:pPr>
    </w:p>
    <w:p>
      <w:pPr>
        <w:jc w:val="center"/>
        <w:rPr>
          <w:rFonts w:hint="eastAsia" w:ascii="宋体" w:hAnsi="宋体" w:eastAsia="宋体" w:cs="宋体"/>
          <w:sz w:val="44"/>
          <w:szCs w:val="44"/>
        </w:rPr>
      </w:pPr>
      <w:r>
        <w:rPr>
          <w:rFonts w:hint="eastAsia" w:ascii="宋体" w:hAnsi="宋体" w:eastAsia="宋体" w:cs="宋体"/>
          <w:sz w:val="44"/>
          <w:szCs w:val="44"/>
        </w:rPr>
        <w:t>国际航行海船法定检验技术规则</w:t>
      </w:r>
    </w:p>
    <w:p>
      <w:pPr>
        <w:jc w:val="center"/>
        <w:rPr>
          <w:rFonts w:hint="eastAsia" w:ascii="宋体" w:hAnsi="宋体" w:eastAsia="宋体" w:cs="宋体"/>
          <w:sz w:val="21"/>
          <w:szCs w:val="21"/>
        </w:rPr>
      </w:pPr>
    </w:p>
    <w:p>
      <w:pPr>
        <w:jc w:val="center"/>
        <w:rPr>
          <w:rFonts w:hint="eastAsia" w:ascii="宋体" w:hAnsi="宋体" w:eastAsia="宋体" w:cs="宋体"/>
          <w:b/>
          <w:bCs/>
          <w:sz w:val="44"/>
          <w:szCs w:val="44"/>
        </w:rPr>
      </w:pPr>
      <w:r>
        <w:rPr>
          <w:rFonts w:hint="eastAsia" w:ascii="宋体" w:hAnsi="宋体" w:eastAsia="宋体" w:cs="宋体"/>
          <w:b/>
          <w:bCs/>
          <w:sz w:val="44"/>
          <w:szCs w:val="44"/>
        </w:rPr>
        <w:t>2022年修改通报</w:t>
      </w:r>
    </w:p>
    <w:p>
      <w:pPr>
        <w:jc w:val="center"/>
        <w:rPr>
          <w:rFonts w:hint="eastAsia" w:ascii="宋体" w:hAnsi="宋体" w:eastAsia="宋体" w:cs="宋体"/>
          <w:sz w:val="21"/>
          <w:szCs w:val="21"/>
        </w:rPr>
      </w:pPr>
    </w:p>
    <w:p>
      <w:pPr>
        <w:jc w:val="center"/>
        <w:rPr>
          <w:rFonts w:hint="eastAsia" w:ascii="宋体" w:hAnsi="宋体" w:eastAsia="宋体" w:cs="宋体"/>
          <w:sz w:val="21"/>
          <w:szCs w:val="21"/>
        </w:rPr>
      </w:pPr>
    </w:p>
    <w:p>
      <w:pPr>
        <w:jc w:val="center"/>
        <w:rPr>
          <w:rFonts w:hint="eastAsia" w:ascii="宋体" w:hAnsi="宋体" w:eastAsia="宋体" w:cs="宋体"/>
          <w:sz w:val="21"/>
          <w:szCs w:val="21"/>
        </w:rPr>
      </w:pPr>
    </w:p>
    <w:p>
      <w:pPr>
        <w:jc w:val="center"/>
        <w:rPr>
          <w:rFonts w:hint="eastAsia" w:ascii="宋体" w:hAnsi="宋体" w:eastAsia="宋体" w:cs="宋体"/>
          <w:sz w:val="21"/>
          <w:szCs w:val="21"/>
        </w:rPr>
      </w:pPr>
    </w:p>
    <w:p>
      <w:pPr>
        <w:jc w:val="center"/>
        <w:rPr>
          <w:rFonts w:hint="eastAsia" w:ascii="宋体" w:hAnsi="宋体" w:eastAsia="宋体" w:cs="宋体"/>
          <w:b/>
          <w:sz w:val="32"/>
          <w:szCs w:val="32"/>
        </w:rPr>
      </w:pPr>
      <w:r>
        <w:rPr>
          <w:rFonts w:hint="eastAsia" w:ascii="宋体" w:hAnsi="宋体" w:eastAsia="宋体" w:cs="宋体"/>
          <w:b/>
          <w:sz w:val="32"/>
          <w:szCs w:val="32"/>
        </w:rPr>
        <w:t>附</w:t>
      </w:r>
      <w:r>
        <w:rPr>
          <w:rFonts w:hint="eastAsia" w:ascii="宋体" w:hAnsi="宋体" w:cs="宋体"/>
          <w:b/>
          <w:sz w:val="32"/>
          <w:szCs w:val="32"/>
          <w:lang w:val="en-US" w:eastAsia="zh-CN"/>
        </w:rPr>
        <w:t xml:space="preserve">   </w:t>
      </w:r>
      <w:r>
        <w:rPr>
          <w:rFonts w:hint="eastAsia" w:ascii="宋体" w:hAnsi="宋体" w:eastAsia="宋体" w:cs="宋体"/>
          <w:b/>
          <w:sz w:val="32"/>
          <w:szCs w:val="32"/>
        </w:rPr>
        <w:t>则</w:t>
      </w:r>
    </w:p>
    <w:p>
      <w:pPr>
        <w:spacing w:line="460" w:lineRule="exact"/>
        <w:jc w:val="center"/>
        <w:rPr>
          <w:rFonts w:hint="eastAsia" w:ascii="宋体" w:hAnsi="宋体"/>
          <w:b/>
          <w:sz w:val="21"/>
          <w:szCs w:val="21"/>
        </w:rPr>
      </w:pPr>
    </w:p>
    <w:bookmarkEnd w:id="0"/>
    <w:bookmarkEnd w:id="1"/>
    <w:p>
      <w:pPr>
        <w:jc w:val="center"/>
        <w:outlineLvl w:val="0"/>
        <w:rPr>
          <w:rFonts w:hint="eastAsia" w:ascii="黑体" w:hAnsi="黑体" w:eastAsia="黑体" w:cs="黑体"/>
          <w:b/>
          <w:spacing w:val="-6"/>
          <w:sz w:val="32"/>
          <w:szCs w:val="32"/>
          <w:lang w:val="zh-CN"/>
        </w:rPr>
      </w:pPr>
      <w:bookmarkStart w:id="3" w:name="_Toc12773"/>
      <w:bookmarkStart w:id="4" w:name="_Toc10088"/>
      <w:r>
        <w:rPr>
          <w:rFonts w:hint="eastAsia" w:ascii="黑体" w:hAnsi="黑体" w:eastAsia="黑体" w:cs="黑体"/>
          <w:b/>
          <w:spacing w:val="-6"/>
          <w:sz w:val="32"/>
          <w:szCs w:val="32"/>
          <w:lang w:val="zh-CN"/>
        </w:rPr>
        <w:t>附则14  使用气体或其它低闪点燃料船舶国际安全规则</w:t>
      </w:r>
      <w:bookmarkEnd w:id="3"/>
      <w:bookmarkEnd w:id="4"/>
    </w:p>
    <w:p>
      <w:pPr>
        <w:jc w:val="center"/>
        <w:outlineLvl w:val="0"/>
        <w:rPr>
          <w:rFonts w:hint="eastAsia" w:ascii="黑体" w:hAnsi="黑体" w:eastAsia="黑体" w:cs="黑体"/>
          <w:b/>
          <w:spacing w:val="-6"/>
          <w:sz w:val="32"/>
          <w:szCs w:val="32"/>
          <w:lang w:val="zh-CN"/>
        </w:rPr>
      </w:pPr>
      <w:bookmarkStart w:id="5" w:name="_Toc4139"/>
      <w:bookmarkStart w:id="6" w:name="_Toc17866"/>
      <w:r>
        <w:rPr>
          <w:rFonts w:hint="eastAsia" w:ascii="黑体" w:hAnsi="黑体" w:eastAsia="黑体" w:cs="黑体"/>
          <w:b/>
          <w:spacing w:val="-6"/>
          <w:sz w:val="32"/>
          <w:szCs w:val="32"/>
          <w:lang w:val="zh-CN"/>
        </w:rPr>
        <w:t>(IGF规则)</w:t>
      </w:r>
      <w:bookmarkEnd w:id="2"/>
      <w:bookmarkEnd w:id="5"/>
      <w:bookmarkEnd w:id="6"/>
    </w:p>
    <w:p>
      <w:pPr>
        <w:jc w:val="center"/>
        <w:outlineLvl w:val="0"/>
        <w:rPr>
          <w:rFonts w:hint="eastAsia" w:ascii="宋体" w:hAnsi="宋体" w:eastAsia="宋体" w:cs="宋体"/>
          <w:b/>
          <w:spacing w:val="-6"/>
          <w:sz w:val="32"/>
          <w:szCs w:val="32"/>
          <w:lang w:val="zh-CN"/>
        </w:rPr>
      </w:pPr>
      <w:bookmarkStart w:id="43" w:name="_GoBack"/>
      <w:r>
        <w:rPr>
          <w:rFonts w:hint="eastAsia" w:ascii="宋体" w:hAnsi="宋体" w:eastAsia="宋体" w:cs="宋体"/>
          <w:b w:val="0"/>
          <w:bCs/>
          <w:sz w:val="32"/>
          <w:szCs w:val="32"/>
          <w:lang w:eastAsia="zh-CN"/>
        </w:rPr>
        <w:t>（征求意见稿）</w:t>
      </w:r>
      <w:bookmarkEnd w:id="43"/>
    </w:p>
    <w:p>
      <w:pPr>
        <w:spacing w:before="312" w:beforeLines="100" w:line="600" w:lineRule="exact"/>
        <w:jc w:val="center"/>
        <w:rPr>
          <w:rFonts w:ascii="Times New Roman" w:hAnsi="Times New Roman" w:eastAsia="黑体" w:cs="Times New Roman"/>
          <w:sz w:val="44"/>
          <w:szCs w:val="44"/>
        </w:rPr>
      </w:pPr>
      <w:bookmarkStart w:id="7" w:name="OLE_LINK13"/>
      <w:bookmarkStart w:id="8" w:name="OLE_LINK14"/>
    </w:p>
    <w:bookmarkEnd w:id="7"/>
    <w:bookmarkEnd w:id="8"/>
    <w:p>
      <w:pPr>
        <w:pStyle w:val="72"/>
        <w:jc w:val="center"/>
        <w:outlineLvl w:val="0"/>
        <w:rPr>
          <w:rFonts w:hint="eastAsia" w:ascii="Times New Roman" w:hAnsi="Times New Roman" w:cs="Times New Roman"/>
          <w:lang w:val="zh-CN"/>
        </w:rPr>
        <w:sectPr>
          <w:footerReference r:id="rId4" w:type="default"/>
          <w:pgSz w:w="11906" w:h="16838"/>
          <w:pgMar w:top="1440" w:right="1800" w:bottom="1440" w:left="1800" w:header="851" w:footer="992" w:gutter="0"/>
          <w:pgNumType w:fmt="decimal" w:start="1"/>
          <w:cols w:space="425" w:num="1"/>
          <w:docGrid w:type="lines" w:linePitch="312" w:charSpace="0"/>
        </w:sectPr>
      </w:pPr>
    </w:p>
    <w:p>
      <w:pPr>
        <w:pStyle w:val="72"/>
        <w:jc w:val="center"/>
        <w:outlineLvl w:val="0"/>
        <w:rPr>
          <w:rFonts w:ascii="Times New Roman" w:hAnsi="Times New Roman" w:cs="Times New Roman"/>
        </w:rPr>
      </w:pPr>
      <w:bookmarkStart w:id="9" w:name="_Toc29223"/>
      <w:bookmarkStart w:id="10" w:name="_Toc24395"/>
      <w:r>
        <w:rPr>
          <w:rFonts w:hint="eastAsia" w:ascii="Times New Roman" w:hAnsi="Times New Roman" w:cs="Times New Roman"/>
          <w:lang w:val="zh-CN"/>
        </w:rPr>
        <w:t>说</w:t>
      </w:r>
      <w:r>
        <w:rPr>
          <w:rFonts w:hint="eastAsia" w:ascii="Times New Roman" w:hAnsi="Times New Roman" w:cs="Times New Roman"/>
          <w:lang w:val="en-US" w:eastAsia="zh-CN"/>
        </w:rPr>
        <w:t xml:space="preserve">  </w:t>
      </w:r>
      <w:r>
        <w:rPr>
          <w:rFonts w:hint="eastAsia" w:ascii="Times New Roman" w:hAnsi="Times New Roman" w:cs="Times New Roman"/>
          <w:lang w:val="zh-CN"/>
        </w:rPr>
        <w:t>明</w:t>
      </w:r>
      <w:bookmarkEnd w:id="9"/>
      <w:bookmarkEnd w:id="10"/>
    </w:p>
    <w:p>
      <w:pPr>
        <w:spacing w:line="360" w:lineRule="auto"/>
        <w:ind w:firstLine="3941" w:firstLineChars="1402"/>
        <w:rPr>
          <w:b/>
          <w:sz w:val="28"/>
          <w:szCs w:val="28"/>
        </w:rPr>
      </w:pPr>
    </w:p>
    <w:p>
      <w:pPr>
        <w:keepNext w:val="0"/>
        <w:keepLines w:val="0"/>
        <w:pageBreakBefore w:val="0"/>
        <w:widowControl w:val="0"/>
        <w:tabs>
          <w:tab w:val="left" w:pos="540"/>
        </w:tabs>
        <w:kinsoku/>
        <w:wordWrap/>
        <w:overflowPunct/>
        <w:topLinePunct w:val="0"/>
        <w:autoSpaceDE/>
        <w:autoSpaceDN/>
        <w:bidi w:val="0"/>
        <w:adjustRightInd w:val="0"/>
        <w:snapToGrid w:val="0"/>
        <w:spacing w:line="240" w:lineRule="auto"/>
        <w:ind w:firstLine="420" w:firstLineChars="200"/>
        <w:jc w:val="left"/>
        <w:textAlignment w:val="auto"/>
        <w:rPr>
          <w:rFonts w:hint="default" w:ascii="宋体" w:hAnsi="宋体" w:eastAsia="宋体"/>
          <w:szCs w:val="21"/>
          <w:highlight w:val="none"/>
          <w:lang w:val="en-US" w:eastAsia="zh-CN"/>
        </w:rPr>
      </w:pPr>
      <w:r>
        <w:rPr>
          <w:rFonts w:hint="eastAsia" w:ascii="宋体" w:hAnsi="宋体"/>
          <w:szCs w:val="21"/>
          <w:highlight w:val="none"/>
          <w:lang w:val="en-US" w:eastAsia="zh-CN"/>
        </w:rPr>
        <w:t>原5改为：</w:t>
      </w:r>
    </w:p>
    <w:p>
      <w:pPr>
        <w:keepNext w:val="0"/>
        <w:keepLines w:val="0"/>
        <w:pageBreakBefore w:val="0"/>
        <w:widowControl w:val="0"/>
        <w:tabs>
          <w:tab w:val="left" w:pos="540"/>
        </w:tabs>
        <w:kinsoku/>
        <w:wordWrap/>
        <w:overflowPunct/>
        <w:topLinePunct w:val="0"/>
        <w:autoSpaceDE/>
        <w:autoSpaceDN/>
        <w:bidi w:val="0"/>
        <w:adjustRightInd w:val="0"/>
        <w:snapToGrid w:val="0"/>
        <w:spacing w:line="240" w:lineRule="auto"/>
        <w:ind w:firstLine="420" w:firstLineChars="200"/>
        <w:jc w:val="left"/>
        <w:textAlignment w:val="auto"/>
        <w:rPr>
          <w:sz w:val="18"/>
          <w:szCs w:val="18"/>
          <w:highlight w:val="none"/>
        </w:rPr>
      </w:pPr>
      <w:r>
        <w:rPr>
          <w:rFonts w:hint="default" w:ascii="宋体" w:hAnsi="宋体"/>
          <w:szCs w:val="21"/>
          <w:highlight w:val="none"/>
          <w:lang w:val="en-US" w:eastAsia="zh-CN"/>
        </w:rPr>
        <w:t>“</w:t>
      </w:r>
      <w:r>
        <w:rPr>
          <w:rFonts w:hint="eastAsia" w:ascii="宋体" w:hAnsi="宋体"/>
          <w:szCs w:val="21"/>
          <w:highlight w:val="none"/>
        </w:rPr>
        <w:t xml:space="preserve">5. </w:t>
      </w:r>
      <w:r>
        <w:rPr>
          <w:rFonts w:hint="eastAsia"/>
          <w:szCs w:val="21"/>
          <w:highlight w:val="none"/>
        </w:rPr>
        <w:t>通过及修订《使用气体或其他低闪点燃料船舶国际安全规则》（IGF规则）的IMO决议如下：</w:t>
      </w:r>
    </w:p>
    <w:tbl>
      <w:tblPr>
        <w:tblStyle w:val="28"/>
        <w:tblW w:w="7898" w:type="dxa"/>
        <w:tblInd w:w="57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4"/>
        <w:gridCol w:w="1477"/>
        <w:gridCol w:w="2203"/>
        <w:gridCol w:w="1843"/>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4"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highlight w:val="none"/>
              </w:rPr>
            </w:pPr>
            <w:r>
              <w:rPr>
                <w:rFonts w:hint="eastAsia" w:ascii="宋体" w:hAnsi="宋体"/>
                <w:highlight w:val="none"/>
              </w:rPr>
              <w:t>序号</w:t>
            </w:r>
          </w:p>
        </w:tc>
        <w:tc>
          <w:tcPr>
            <w:tcW w:w="1477" w:type="dxa"/>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highlight w:val="none"/>
              </w:rPr>
            </w:pPr>
            <w:r>
              <w:rPr>
                <w:rFonts w:hint="eastAsia" w:ascii="宋体" w:hAnsi="宋体"/>
                <w:highlight w:val="none"/>
              </w:rPr>
              <w:t>决议案</w:t>
            </w:r>
          </w:p>
        </w:tc>
        <w:tc>
          <w:tcPr>
            <w:tcW w:w="2203" w:type="dxa"/>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highlight w:val="none"/>
              </w:rPr>
            </w:pPr>
            <w:r>
              <w:rPr>
                <w:rFonts w:hint="eastAsia" w:ascii="宋体" w:hAnsi="宋体"/>
                <w:highlight w:val="none"/>
              </w:rPr>
              <w:t>通过日期</w:t>
            </w:r>
          </w:p>
        </w:tc>
        <w:tc>
          <w:tcPr>
            <w:tcW w:w="1843" w:type="dxa"/>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highlight w:val="none"/>
              </w:rPr>
            </w:pPr>
            <w:r>
              <w:rPr>
                <w:rFonts w:hint="eastAsia" w:ascii="宋体" w:hAnsi="宋体"/>
                <w:highlight w:val="none"/>
              </w:rPr>
              <w:t>认为接受</w:t>
            </w:r>
          </w:p>
        </w:tc>
        <w:tc>
          <w:tcPr>
            <w:tcW w:w="1701" w:type="dxa"/>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highlight w:val="none"/>
              </w:rPr>
            </w:pPr>
            <w:r>
              <w:rPr>
                <w:rFonts w:hint="eastAsia" w:ascii="宋体" w:hAnsi="宋体"/>
                <w:highlight w:val="none"/>
              </w:rPr>
              <w:t>生效日期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4"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highlight w:val="none"/>
              </w:rPr>
            </w:pPr>
            <w:r>
              <w:rPr>
                <w:rFonts w:hint="eastAsia" w:ascii="宋体" w:hAnsi="宋体"/>
                <w:highlight w:val="none"/>
              </w:rPr>
              <w:t>1</w:t>
            </w:r>
          </w:p>
        </w:tc>
        <w:tc>
          <w:tcPr>
            <w:tcW w:w="1477" w:type="dxa"/>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highlight w:val="none"/>
              </w:rPr>
            </w:pPr>
            <w:r>
              <w:rPr>
                <w:rFonts w:hint="eastAsia" w:ascii="宋体" w:hAnsi="宋体"/>
                <w:highlight w:val="none"/>
              </w:rPr>
              <w:t>MSC.391(95)</w:t>
            </w:r>
          </w:p>
        </w:tc>
        <w:tc>
          <w:tcPr>
            <w:tcW w:w="2203" w:type="dxa"/>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highlight w:val="none"/>
              </w:rPr>
            </w:pPr>
            <w:r>
              <w:rPr>
                <w:rFonts w:hint="eastAsia" w:ascii="宋体" w:hAnsi="宋体"/>
                <w:highlight w:val="none"/>
              </w:rPr>
              <w:t>2015年6月11日</w:t>
            </w:r>
          </w:p>
        </w:tc>
        <w:tc>
          <w:tcPr>
            <w:tcW w:w="1843" w:type="dxa"/>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highlight w:val="none"/>
              </w:rPr>
            </w:pPr>
            <w:r>
              <w:rPr>
                <w:rFonts w:hint="eastAsia" w:ascii="宋体" w:hAnsi="宋体"/>
                <w:highlight w:val="none"/>
              </w:rPr>
              <w:t>---</w:t>
            </w:r>
          </w:p>
        </w:tc>
        <w:tc>
          <w:tcPr>
            <w:tcW w:w="1701" w:type="dxa"/>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highlight w:val="none"/>
              </w:rPr>
            </w:pPr>
            <w:r>
              <w:rPr>
                <w:rFonts w:hint="eastAsia" w:ascii="宋体" w:hAnsi="宋体"/>
                <w:highlight w:val="none"/>
              </w:rPr>
              <w:t>2017年1月1日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4"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highlight w:val="none"/>
              </w:rPr>
            </w:pPr>
            <w:r>
              <w:rPr>
                <w:rFonts w:hint="eastAsia" w:ascii="宋体" w:hAnsi="宋体"/>
                <w:highlight w:val="none"/>
              </w:rPr>
              <w:t>2</w:t>
            </w:r>
          </w:p>
        </w:tc>
        <w:tc>
          <w:tcPr>
            <w:tcW w:w="1477" w:type="dxa"/>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highlight w:val="none"/>
              </w:rPr>
            </w:pPr>
            <w:r>
              <w:rPr>
                <w:rFonts w:ascii="宋体" w:hAnsi="宋体"/>
                <w:highlight w:val="none"/>
              </w:rPr>
              <w:t>MSC.</w:t>
            </w:r>
            <w:r>
              <w:rPr>
                <w:rFonts w:hint="eastAsia" w:ascii="宋体" w:hAnsi="宋体"/>
                <w:highlight w:val="none"/>
              </w:rPr>
              <w:t>422(98)</w:t>
            </w:r>
          </w:p>
        </w:tc>
        <w:tc>
          <w:tcPr>
            <w:tcW w:w="2203" w:type="dxa"/>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highlight w:val="none"/>
              </w:rPr>
            </w:pPr>
            <w:r>
              <w:rPr>
                <w:rFonts w:ascii="宋体" w:hAnsi="宋体"/>
                <w:highlight w:val="none"/>
              </w:rPr>
              <w:t>201</w:t>
            </w:r>
            <w:r>
              <w:rPr>
                <w:rFonts w:hint="eastAsia" w:ascii="宋体" w:hAnsi="宋体"/>
                <w:highlight w:val="none"/>
              </w:rPr>
              <w:t>7</w:t>
            </w:r>
            <w:r>
              <w:rPr>
                <w:rFonts w:ascii="宋体" w:hAnsi="宋体"/>
                <w:highlight w:val="none"/>
              </w:rPr>
              <w:t>年</w:t>
            </w:r>
            <w:r>
              <w:rPr>
                <w:rFonts w:hint="eastAsia" w:ascii="宋体" w:hAnsi="宋体"/>
                <w:highlight w:val="none"/>
              </w:rPr>
              <w:t>6</w:t>
            </w:r>
            <w:r>
              <w:rPr>
                <w:rFonts w:ascii="宋体" w:hAnsi="宋体"/>
                <w:highlight w:val="none"/>
              </w:rPr>
              <w:t>月</w:t>
            </w:r>
            <w:r>
              <w:rPr>
                <w:rFonts w:hint="eastAsia" w:ascii="宋体" w:hAnsi="宋体"/>
                <w:highlight w:val="none"/>
              </w:rPr>
              <w:t>15</w:t>
            </w:r>
            <w:r>
              <w:rPr>
                <w:rFonts w:ascii="宋体" w:hAnsi="宋体"/>
                <w:highlight w:val="none"/>
              </w:rPr>
              <w:t>日</w:t>
            </w:r>
          </w:p>
        </w:tc>
        <w:tc>
          <w:tcPr>
            <w:tcW w:w="1843" w:type="dxa"/>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highlight w:val="none"/>
              </w:rPr>
            </w:pPr>
            <w:r>
              <w:rPr>
                <w:rFonts w:hint="eastAsia" w:ascii="宋体" w:hAnsi="宋体"/>
                <w:highlight w:val="none"/>
              </w:rPr>
              <w:t>---</w:t>
            </w:r>
          </w:p>
        </w:tc>
        <w:tc>
          <w:tcPr>
            <w:tcW w:w="1701" w:type="dxa"/>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highlight w:val="none"/>
              </w:rPr>
            </w:pPr>
            <w:r>
              <w:rPr>
                <w:rFonts w:hint="eastAsia" w:ascii="宋体" w:hAnsi="宋体"/>
                <w:highlight w:val="none"/>
              </w:rPr>
              <w:t>2020年1月1日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4"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olor w:val="FF0000"/>
                <w:highlight w:val="none"/>
                <w:u w:val="single"/>
                <w:lang w:val="en-US" w:eastAsia="zh-CN"/>
              </w:rPr>
            </w:pPr>
            <w:r>
              <w:rPr>
                <w:rFonts w:hint="eastAsia" w:ascii="宋体" w:hAnsi="宋体"/>
                <w:color w:val="FF0000"/>
                <w:highlight w:val="none"/>
                <w:u w:val="single"/>
                <w:lang w:val="en-US" w:eastAsia="zh-CN"/>
              </w:rPr>
              <w:t>3</w:t>
            </w:r>
          </w:p>
        </w:tc>
        <w:tc>
          <w:tcPr>
            <w:tcW w:w="1477" w:type="dxa"/>
          </w:tcPr>
          <w:p>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olor w:val="FF0000"/>
                <w:highlight w:val="none"/>
                <w:u w:val="single"/>
                <w:lang w:val="en-US" w:eastAsia="zh-CN"/>
              </w:rPr>
            </w:pPr>
            <w:r>
              <w:rPr>
                <w:rFonts w:ascii="宋体" w:hAnsi="宋体"/>
                <w:color w:val="FF0000"/>
                <w:highlight w:val="none"/>
                <w:u w:val="single"/>
              </w:rPr>
              <w:t>MSC.45</w:t>
            </w:r>
            <w:r>
              <w:rPr>
                <w:rFonts w:hint="eastAsia" w:ascii="宋体" w:hAnsi="宋体"/>
                <w:color w:val="FF0000"/>
                <w:highlight w:val="none"/>
                <w:u w:val="single"/>
                <w:lang w:val="en-US" w:eastAsia="zh-CN"/>
              </w:rPr>
              <w:t>8(</w:t>
            </w:r>
            <w:r>
              <w:rPr>
                <w:rFonts w:ascii="宋体" w:hAnsi="宋体"/>
                <w:color w:val="FF0000"/>
                <w:highlight w:val="none"/>
                <w:u w:val="single"/>
              </w:rPr>
              <w:t>101</w:t>
            </w:r>
            <w:r>
              <w:rPr>
                <w:rFonts w:hint="eastAsia" w:ascii="宋体" w:hAnsi="宋体"/>
                <w:color w:val="FF0000"/>
                <w:highlight w:val="none"/>
                <w:u w:val="single"/>
                <w:lang w:val="en-US" w:eastAsia="zh-CN"/>
              </w:rPr>
              <w:t>)</w:t>
            </w:r>
          </w:p>
        </w:tc>
        <w:tc>
          <w:tcPr>
            <w:tcW w:w="2203" w:type="dxa"/>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color w:val="FF0000"/>
                <w:highlight w:val="none"/>
                <w:u w:val="single"/>
              </w:rPr>
            </w:pPr>
            <w:r>
              <w:rPr>
                <w:rFonts w:ascii="宋体" w:hAnsi="宋体"/>
                <w:color w:val="FF0000"/>
                <w:highlight w:val="none"/>
                <w:u w:val="single"/>
              </w:rPr>
              <w:t>2019</w:t>
            </w:r>
            <w:r>
              <w:rPr>
                <w:rFonts w:hint="eastAsia" w:ascii="宋体" w:hAnsi="宋体"/>
                <w:color w:val="FF0000"/>
                <w:highlight w:val="none"/>
                <w:u w:val="single"/>
              </w:rPr>
              <w:t>年</w:t>
            </w:r>
            <w:r>
              <w:rPr>
                <w:rFonts w:ascii="宋体" w:hAnsi="宋体"/>
                <w:color w:val="FF0000"/>
                <w:highlight w:val="none"/>
                <w:u w:val="single"/>
              </w:rPr>
              <w:t>6</w:t>
            </w:r>
            <w:r>
              <w:rPr>
                <w:rFonts w:hint="eastAsia" w:ascii="宋体" w:hAnsi="宋体"/>
                <w:color w:val="FF0000"/>
                <w:highlight w:val="none"/>
                <w:u w:val="single"/>
              </w:rPr>
              <w:t>月</w:t>
            </w:r>
            <w:r>
              <w:rPr>
                <w:rFonts w:ascii="宋体" w:hAnsi="宋体"/>
                <w:color w:val="FF0000"/>
                <w:highlight w:val="none"/>
                <w:u w:val="single"/>
              </w:rPr>
              <w:t>14</w:t>
            </w:r>
            <w:r>
              <w:rPr>
                <w:rFonts w:hint="eastAsia" w:ascii="宋体" w:hAnsi="宋体"/>
                <w:color w:val="FF0000"/>
                <w:highlight w:val="none"/>
                <w:u w:val="single"/>
              </w:rPr>
              <w:t>日</w:t>
            </w:r>
          </w:p>
        </w:tc>
        <w:tc>
          <w:tcPr>
            <w:tcW w:w="1843" w:type="dxa"/>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color w:val="FF0000"/>
                <w:highlight w:val="none"/>
                <w:u w:val="single"/>
              </w:rPr>
            </w:pPr>
            <w:r>
              <w:rPr>
                <w:rFonts w:hint="eastAsia" w:ascii="宋体" w:hAnsi="宋体"/>
                <w:color w:val="FF0000"/>
                <w:highlight w:val="none"/>
                <w:u w:val="single"/>
              </w:rPr>
              <w:t>---</w:t>
            </w:r>
          </w:p>
        </w:tc>
        <w:tc>
          <w:tcPr>
            <w:tcW w:w="1701" w:type="dxa"/>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color w:val="FF0000"/>
                <w:highlight w:val="none"/>
                <w:u w:val="single"/>
              </w:rPr>
            </w:pPr>
            <w:r>
              <w:rPr>
                <w:rFonts w:hint="eastAsia" w:ascii="宋体" w:hAnsi="宋体"/>
                <w:color w:val="FF0000"/>
                <w:highlight w:val="none"/>
                <w:u w:val="single"/>
              </w:rPr>
              <w:t>2024年1月1日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4"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color w:val="FF0000"/>
                <w:highlight w:val="none"/>
                <w:u w:val="single"/>
                <w:lang w:val="en-US" w:eastAsia="zh-CN"/>
              </w:rPr>
            </w:pPr>
            <w:r>
              <w:rPr>
                <w:rFonts w:hint="eastAsia" w:ascii="宋体" w:hAnsi="宋体"/>
                <w:color w:val="FF0000"/>
                <w:highlight w:val="none"/>
                <w:u w:val="single"/>
                <w:lang w:val="en-US" w:eastAsia="zh-CN"/>
              </w:rPr>
              <w:t>4</w:t>
            </w:r>
          </w:p>
        </w:tc>
        <w:tc>
          <w:tcPr>
            <w:tcW w:w="1477" w:type="dxa"/>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color w:val="FF0000"/>
                <w:highlight w:val="none"/>
                <w:u w:val="single"/>
                <w:lang w:val="en-US" w:eastAsia="zh-CN"/>
              </w:rPr>
            </w:pPr>
            <w:r>
              <w:rPr>
                <w:rFonts w:hint="default" w:ascii="宋体" w:hAnsi="宋体"/>
                <w:color w:val="FF0000"/>
                <w:highlight w:val="none"/>
                <w:u w:val="single"/>
                <w:lang w:val="en-US" w:eastAsia="zh-CN"/>
              </w:rPr>
              <w:t>MSC.475(102)</w:t>
            </w:r>
          </w:p>
        </w:tc>
        <w:tc>
          <w:tcPr>
            <w:tcW w:w="2203" w:type="dxa"/>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color w:val="FF0000"/>
                <w:highlight w:val="none"/>
                <w:u w:val="single"/>
                <w:lang w:val="en-US" w:eastAsia="zh-CN"/>
              </w:rPr>
            </w:pPr>
            <w:r>
              <w:rPr>
                <w:rFonts w:hint="default" w:ascii="宋体" w:hAnsi="宋体"/>
                <w:color w:val="FF0000"/>
                <w:highlight w:val="none"/>
                <w:u w:val="single"/>
                <w:lang w:val="en-US" w:eastAsia="zh-CN"/>
              </w:rPr>
              <w:t>2020</w:t>
            </w:r>
            <w:r>
              <w:rPr>
                <w:rFonts w:hint="eastAsia" w:ascii="宋体" w:hAnsi="宋体"/>
                <w:color w:val="FF0000"/>
                <w:highlight w:val="none"/>
                <w:u w:val="single"/>
                <w:lang w:val="en-US" w:eastAsia="zh-CN"/>
              </w:rPr>
              <w:t>年</w:t>
            </w:r>
            <w:r>
              <w:rPr>
                <w:rFonts w:hint="default" w:ascii="宋体" w:hAnsi="宋体"/>
                <w:color w:val="FF0000"/>
                <w:highlight w:val="none"/>
                <w:u w:val="single"/>
                <w:lang w:val="en-US" w:eastAsia="zh-CN"/>
              </w:rPr>
              <w:t>11</w:t>
            </w:r>
            <w:r>
              <w:rPr>
                <w:rFonts w:hint="eastAsia" w:ascii="宋体" w:hAnsi="宋体"/>
                <w:color w:val="FF0000"/>
                <w:highlight w:val="none"/>
                <w:u w:val="single"/>
                <w:lang w:val="en-US" w:eastAsia="zh-CN"/>
              </w:rPr>
              <w:t>月</w:t>
            </w:r>
            <w:r>
              <w:rPr>
                <w:rFonts w:hint="default" w:ascii="宋体" w:hAnsi="宋体"/>
                <w:color w:val="FF0000"/>
                <w:highlight w:val="none"/>
                <w:u w:val="single"/>
                <w:lang w:val="en-US" w:eastAsia="zh-CN"/>
              </w:rPr>
              <w:t>11</w:t>
            </w:r>
            <w:r>
              <w:rPr>
                <w:rFonts w:hint="eastAsia" w:ascii="宋体" w:hAnsi="宋体"/>
                <w:color w:val="FF0000"/>
                <w:highlight w:val="none"/>
                <w:u w:val="single"/>
                <w:lang w:val="en-US" w:eastAsia="zh-CN"/>
              </w:rPr>
              <w:t>日</w:t>
            </w:r>
          </w:p>
        </w:tc>
        <w:tc>
          <w:tcPr>
            <w:tcW w:w="1843" w:type="dxa"/>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color w:val="FF0000"/>
                <w:highlight w:val="none"/>
                <w:u w:val="single"/>
                <w:lang w:val="en-US" w:eastAsia="zh-CN"/>
              </w:rPr>
            </w:pPr>
            <w:r>
              <w:rPr>
                <w:rFonts w:hint="eastAsia" w:ascii="宋体" w:hAnsi="宋体"/>
                <w:color w:val="FF0000"/>
                <w:highlight w:val="none"/>
                <w:u w:val="single"/>
              </w:rPr>
              <w:t>---</w:t>
            </w:r>
          </w:p>
        </w:tc>
        <w:tc>
          <w:tcPr>
            <w:tcW w:w="1701" w:type="dxa"/>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color w:val="FF0000"/>
                <w:highlight w:val="none"/>
                <w:u w:val="single"/>
                <w:lang w:val="en-US" w:eastAsia="zh-CN"/>
              </w:rPr>
            </w:pPr>
            <w:r>
              <w:rPr>
                <w:rFonts w:hint="default" w:ascii="宋体" w:hAnsi="宋体"/>
                <w:color w:val="FF0000"/>
                <w:highlight w:val="none"/>
                <w:u w:val="single"/>
                <w:lang w:val="en-US" w:eastAsia="zh-CN"/>
              </w:rPr>
              <w:t>2024</w:t>
            </w:r>
            <w:r>
              <w:rPr>
                <w:rFonts w:hint="eastAsia" w:ascii="宋体" w:hAnsi="宋体"/>
                <w:color w:val="FF0000"/>
                <w:highlight w:val="none"/>
                <w:u w:val="single"/>
                <w:lang w:val="en-US" w:eastAsia="zh-CN"/>
              </w:rPr>
              <w:t>年</w:t>
            </w:r>
            <w:r>
              <w:rPr>
                <w:rFonts w:hint="default" w:ascii="宋体" w:hAnsi="宋体"/>
                <w:color w:val="FF0000"/>
                <w:highlight w:val="none"/>
                <w:u w:val="single"/>
                <w:lang w:val="en-US" w:eastAsia="zh-CN"/>
              </w:rPr>
              <w:t>1</w:t>
            </w:r>
            <w:r>
              <w:rPr>
                <w:rFonts w:hint="eastAsia" w:ascii="宋体" w:hAnsi="宋体"/>
                <w:color w:val="FF0000"/>
                <w:highlight w:val="none"/>
                <w:u w:val="single"/>
                <w:lang w:val="en-US" w:eastAsia="zh-CN"/>
              </w:rPr>
              <w:t>月</w:t>
            </w:r>
            <w:r>
              <w:rPr>
                <w:rFonts w:hint="default" w:ascii="宋体" w:hAnsi="宋体"/>
                <w:color w:val="FF0000"/>
                <w:highlight w:val="none"/>
                <w:u w:val="single"/>
                <w:lang w:val="en-US" w:eastAsia="zh-CN"/>
              </w:rPr>
              <w:t>1</w:t>
            </w:r>
            <w:r>
              <w:rPr>
                <w:rFonts w:hint="eastAsia" w:ascii="宋体" w:hAnsi="宋体"/>
                <w:color w:val="FF0000"/>
                <w:highlight w:val="none"/>
                <w:u w:val="single"/>
                <w:lang w:val="en-US" w:eastAsia="zh-CN"/>
              </w:rPr>
              <w:t>日</w:t>
            </w:r>
          </w:p>
        </w:tc>
      </w:tr>
    </w:tbl>
    <w:p>
      <w:pPr>
        <w:tabs>
          <w:tab w:val="left" w:pos="540"/>
        </w:tabs>
        <w:snapToGrid w:val="0"/>
        <w:spacing w:after="156" w:afterLines="50"/>
        <w:jc w:val="left"/>
        <w:rPr>
          <w:rFonts w:hint="default" w:eastAsia="宋体"/>
          <w:strike w:val="0"/>
          <w:sz w:val="18"/>
          <w:szCs w:val="18"/>
          <w:u w:val="none"/>
          <w:lang w:val="en-US" w:eastAsia="zh-CN"/>
        </w:rPr>
      </w:pPr>
      <w:r>
        <w:rPr>
          <w:rFonts w:hint="eastAsia"/>
          <w:strike w:val="0"/>
          <w:sz w:val="18"/>
          <w:szCs w:val="18"/>
          <w:u w:val="none"/>
          <w:lang w:val="en-US" w:eastAsia="zh-CN"/>
        </w:rPr>
        <w:t>”</w:t>
      </w:r>
    </w:p>
    <w:p>
      <w:pPr>
        <w:spacing w:line="360" w:lineRule="auto"/>
        <w:ind w:firstLine="435"/>
        <w:rPr>
          <w:rFonts w:hint="eastAsia"/>
        </w:rPr>
      </w:pPr>
    </w:p>
    <w:p>
      <w:pPr>
        <w:spacing w:before="312" w:beforeLines="100" w:line="600" w:lineRule="exact"/>
        <w:jc w:val="center"/>
        <w:rPr>
          <w:rFonts w:ascii="Times New Roman" w:hAnsi="Times New Roman" w:eastAsia="黑体" w:cs="Times New Roman"/>
          <w:sz w:val="44"/>
          <w:szCs w:val="44"/>
        </w:rPr>
      </w:pPr>
    </w:p>
    <w:p>
      <w:pPr>
        <w:jc w:val="center"/>
        <w:outlineLvl w:val="0"/>
        <w:rPr>
          <w:rFonts w:ascii="Calibri" w:hAnsi="Calibri" w:eastAsia="宋体" w:cs="黑体"/>
          <w:kern w:val="2"/>
          <w:sz w:val="21"/>
          <w:szCs w:val="22"/>
          <w:lang w:val="en-US" w:eastAsia="zh-CN" w:bidi="ar-SA"/>
        </w:rPr>
      </w:pPr>
      <w:r>
        <w:br w:type="page"/>
      </w:r>
      <w:bookmarkStart w:id="11" w:name="_Toc24244"/>
      <w:bookmarkStart w:id="12" w:name="_Toc21761"/>
      <w:bookmarkStart w:id="13" w:name="_Toc430113391"/>
      <w:bookmarkStart w:id="14" w:name="_Toc435536316"/>
      <w:bookmarkStart w:id="15" w:name="_Toc430121170"/>
      <w:bookmarkStart w:id="16" w:name="_Toc439944544"/>
      <w:r>
        <w:rPr>
          <w:rFonts w:hint="eastAsia" w:ascii="Times New Roman" w:hAnsi="Times New Roman" w:eastAsia="黑体" w:cs="Times New Roman"/>
          <w:kern w:val="2"/>
          <w:sz w:val="32"/>
          <w:szCs w:val="32"/>
          <w:lang w:val="zh-CN" w:eastAsia="zh-CN" w:bidi="ar-SA"/>
        </w:rPr>
        <w:t>目</w:t>
      </w:r>
      <w:r>
        <w:rPr>
          <w:rFonts w:hint="eastAsia" w:ascii="Times New Roman" w:hAnsi="Times New Roman" w:eastAsia="黑体" w:cs="Times New Roman"/>
          <w:kern w:val="2"/>
          <w:sz w:val="32"/>
          <w:szCs w:val="32"/>
          <w:lang w:val="en-US" w:eastAsia="zh-CN" w:bidi="ar-SA"/>
        </w:rPr>
        <w:t xml:space="preserve">   </w:t>
      </w:r>
      <w:r>
        <w:rPr>
          <w:rFonts w:hint="eastAsia" w:ascii="Times New Roman" w:hAnsi="Times New Roman" w:eastAsia="黑体" w:cs="Times New Roman"/>
          <w:kern w:val="2"/>
          <w:sz w:val="32"/>
          <w:szCs w:val="32"/>
          <w:lang w:val="zh-CN" w:eastAsia="zh-CN" w:bidi="ar-SA"/>
        </w:rPr>
        <w:t>录</w:t>
      </w:r>
      <w:bookmarkEnd w:id="11"/>
      <w:bookmarkEnd w:id="12"/>
      <w:bookmarkEnd w:id="13"/>
      <w:bookmarkEnd w:id="14"/>
      <w:bookmarkEnd w:id="15"/>
      <w:bookmarkEnd w:id="16"/>
      <w:r>
        <w:rPr>
          <w:rFonts w:ascii="黑体" w:hAnsi="黑体" w:eastAsia="黑体"/>
          <w:sz w:val="24"/>
          <w:szCs w:val="24"/>
        </w:rPr>
        <w:fldChar w:fldCharType="begin"/>
      </w:r>
      <w:r>
        <w:rPr>
          <w:rFonts w:ascii="黑体" w:hAnsi="黑体" w:eastAsia="黑体"/>
          <w:sz w:val="24"/>
          <w:szCs w:val="24"/>
        </w:rPr>
        <w:instrText xml:space="preserve"> TOC \o "1-3" \h \z \u </w:instrText>
      </w:r>
      <w:r>
        <w:rPr>
          <w:rFonts w:ascii="黑体" w:hAnsi="黑体" w:eastAsia="黑体"/>
          <w:sz w:val="24"/>
          <w:szCs w:val="24"/>
        </w:rPr>
        <w:fldChar w:fldCharType="separate"/>
      </w:r>
    </w:p>
    <w:p>
      <w:pPr>
        <w:pStyle w:val="21"/>
        <w:tabs>
          <w:tab w:val="right" w:leader="dot" w:pos="8306"/>
        </w:tabs>
      </w:pPr>
    </w:p>
    <w:p>
      <w:pPr>
        <w:pStyle w:val="21"/>
        <w:tabs>
          <w:tab w:val="right" w:leader="dot" w:pos="8306"/>
        </w:tabs>
      </w:pPr>
      <w:r>
        <w:fldChar w:fldCharType="begin"/>
      </w:r>
      <w:r>
        <w:instrText xml:space="preserve"> HYPERLINK \l _Toc10190 </w:instrText>
      </w:r>
      <w:r>
        <w:fldChar w:fldCharType="separate"/>
      </w:r>
      <w:r>
        <w:rPr>
          <w:rFonts w:ascii="Times New Roman" w:hAnsi="Times New Roman" w:cs="Times New Roman"/>
        </w:rPr>
        <w:t>A</w:t>
      </w:r>
      <w:r>
        <w:rPr>
          <w:rFonts w:hint="eastAsia" w:ascii="Times New Roman" w:hAnsi="Times New Roman" w:cs="Times New Roman"/>
          <w:lang w:val="en-US" w:eastAsia="zh-CN"/>
        </w:rPr>
        <w:t xml:space="preserve"> </w:t>
      </w:r>
      <w:r>
        <w:rPr>
          <w:rFonts w:ascii="Times New Roman" w:hAnsi="Times New Roman" w:cs="Times New Roman"/>
        </w:rPr>
        <w:t>部分</w:t>
      </w:r>
      <w:r>
        <w:tab/>
      </w:r>
      <w:r>
        <w:fldChar w:fldCharType="begin"/>
      </w:r>
      <w:r>
        <w:instrText xml:space="preserve"> PAGEREF _Toc10190 </w:instrText>
      </w:r>
      <w:r>
        <w:fldChar w:fldCharType="separate"/>
      </w:r>
      <w:r>
        <w:t>1</w:t>
      </w:r>
      <w:r>
        <w:fldChar w:fldCharType="end"/>
      </w:r>
      <w:r>
        <w:fldChar w:fldCharType="end"/>
      </w:r>
    </w:p>
    <w:p>
      <w:pPr>
        <w:pStyle w:val="25"/>
        <w:tabs>
          <w:tab w:val="right" w:leader="dot" w:pos="8306"/>
        </w:tabs>
      </w:pPr>
      <w:r>
        <w:fldChar w:fldCharType="begin"/>
      </w:r>
      <w:r>
        <w:instrText xml:space="preserve"> HYPERLINK \l _Toc15369 </w:instrText>
      </w:r>
      <w:r>
        <w:fldChar w:fldCharType="separate"/>
      </w:r>
      <w:r>
        <w:rPr>
          <w:rFonts w:hint="eastAsia" w:ascii="Times New Roman" w:hAnsi="Times New Roman"/>
        </w:rPr>
        <w:t>2</w:t>
      </w:r>
      <w:r>
        <w:rPr>
          <w:rFonts w:ascii="Times New Roman" w:hAnsi="Times New Roman"/>
        </w:rPr>
        <w:t xml:space="preserve">  通则</w:t>
      </w:r>
      <w:r>
        <w:tab/>
      </w:r>
      <w:r>
        <w:fldChar w:fldCharType="begin"/>
      </w:r>
      <w:r>
        <w:instrText xml:space="preserve"> PAGEREF _Toc15369 </w:instrText>
      </w:r>
      <w:r>
        <w:fldChar w:fldCharType="separate"/>
      </w:r>
      <w:r>
        <w:t>1</w:t>
      </w:r>
      <w:r>
        <w:fldChar w:fldCharType="end"/>
      </w:r>
      <w:r>
        <w:fldChar w:fldCharType="end"/>
      </w:r>
    </w:p>
    <w:p>
      <w:pPr>
        <w:pStyle w:val="21"/>
        <w:tabs>
          <w:tab w:val="right" w:leader="dot" w:pos="8306"/>
        </w:tabs>
      </w:pPr>
      <w:r>
        <w:fldChar w:fldCharType="begin"/>
      </w:r>
      <w:r>
        <w:instrText xml:space="preserve"> HYPERLINK \l _Toc8227 </w:instrText>
      </w:r>
      <w:r>
        <w:fldChar w:fldCharType="separate"/>
      </w:r>
      <w:r>
        <w:rPr>
          <w:rFonts w:ascii="Times New Roman" w:hAnsi="Times New Roman" w:cs="Times New Roman"/>
        </w:rPr>
        <w:t>A-1部分</w:t>
      </w:r>
      <w:r>
        <w:tab/>
      </w:r>
      <w:r>
        <w:fldChar w:fldCharType="begin"/>
      </w:r>
      <w:r>
        <w:instrText xml:space="preserve"> PAGEREF _Toc8227 </w:instrText>
      </w:r>
      <w:r>
        <w:fldChar w:fldCharType="separate"/>
      </w:r>
      <w:r>
        <w:t>1</w:t>
      </w:r>
      <w:r>
        <w:fldChar w:fldCharType="end"/>
      </w:r>
      <w:r>
        <w:fldChar w:fldCharType="end"/>
      </w:r>
    </w:p>
    <w:p>
      <w:pPr>
        <w:pStyle w:val="25"/>
        <w:tabs>
          <w:tab w:val="right" w:leader="dot" w:pos="8306"/>
        </w:tabs>
      </w:pPr>
      <w:r>
        <w:fldChar w:fldCharType="begin"/>
      </w:r>
      <w:r>
        <w:instrText xml:space="preserve"> HYPERLINK \l _Toc17687 </w:instrText>
      </w:r>
      <w:r>
        <w:fldChar w:fldCharType="separate"/>
      </w:r>
      <w:r>
        <w:rPr>
          <w:rFonts w:hint="eastAsia" w:ascii="Times New Roman" w:hAnsi="Times New Roman"/>
        </w:rPr>
        <w:t>5  船舶设计和布置</w:t>
      </w:r>
      <w:r>
        <w:tab/>
      </w:r>
      <w:r>
        <w:fldChar w:fldCharType="begin"/>
      </w:r>
      <w:r>
        <w:instrText xml:space="preserve"> PAGEREF _Toc17687 </w:instrText>
      </w:r>
      <w:r>
        <w:fldChar w:fldCharType="separate"/>
      </w:r>
      <w:r>
        <w:t>1</w:t>
      </w:r>
      <w:r>
        <w:fldChar w:fldCharType="end"/>
      </w:r>
      <w:r>
        <w:fldChar w:fldCharType="end"/>
      </w:r>
    </w:p>
    <w:p>
      <w:pPr>
        <w:pStyle w:val="25"/>
        <w:tabs>
          <w:tab w:val="right" w:leader="dot" w:pos="8306"/>
        </w:tabs>
      </w:pPr>
      <w:r>
        <w:fldChar w:fldCharType="begin"/>
      </w:r>
      <w:r>
        <w:instrText xml:space="preserve"> HYPERLINK \l _Toc6915 </w:instrText>
      </w:r>
      <w:r>
        <w:fldChar w:fldCharType="separate"/>
      </w:r>
      <w:r>
        <w:rPr>
          <w:rFonts w:hint="eastAsia" w:ascii="Times New Roman" w:hAnsi="Times New Roman"/>
        </w:rPr>
        <w:t>6</w:t>
      </w:r>
      <w:r>
        <w:rPr>
          <w:rFonts w:hint="eastAsia" w:ascii="Times New Roman" w:hAnsi="Times New Roman"/>
          <w:lang w:val="en-US" w:eastAsia="zh-CN"/>
        </w:rPr>
        <w:t xml:space="preserve"> </w:t>
      </w:r>
      <w:r>
        <w:rPr>
          <w:rFonts w:hint="eastAsia" w:ascii="Times New Roman" w:hAnsi="Times New Roman"/>
        </w:rPr>
        <w:t xml:space="preserve"> 燃料围护系统</w:t>
      </w:r>
      <w:r>
        <w:tab/>
      </w:r>
      <w:r>
        <w:fldChar w:fldCharType="begin"/>
      </w:r>
      <w:r>
        <w:instrText xml:space="preserve"> PAGEREF _Toc6915 </w:instrText>
      </w:r>
      <w:r>
        <w:fldChar w:fldCharType="separate"/>
      </w:r>
      <w:r>
        <w:t>2</w:t>
      </w:r>
      <w:r>
        <w:fldChar w:fldCharType="end"/>
      </w:r>
      <w:r>
        <w:fldChar w:fldCharType="end"/>
      </w:r>
    </w:p>
    <w:p>
      <w:pPr>
        <w:pStyle w:val="25"/>
        <w:tabs>
          <w:tab w:val="right" w:leader="dot" w:pos="8306"/>
        </w:tabs>
      </w:pPr>
      <w:r>
        <w:fldChar w:fldCharType="begin"/>
      </w:r>
      <w:r>
        <w:instrText xml:space="preserve"> HYPERLINK \l _Toc28667 </w:instrText>
      </w:r>
      <w:r>
        <w:fldChar w:fldCharType="separate"/>
      </w:r>
      <w:r>
        <w:rPr>
          <w:rFonts w:hint="eastAsia" w:ascii="Times New Roman" w:hAnsi="Times New Roman"/>
        </w:rPr>
        <w:t xml:space="preserve">9 </w:t>
      </w:r>
      <w:r>
        <w:rPr>
          <w:rFonts w:hint="eastAsia" w:ascii="Times New Roman" w:hAnsi="Times New Roman"/>
          <w:lang w:val="en-US" w:eastAsia="zh-CN"/>
        </w:rPr>
        <w:t xml:space="preserve"> </w:t>
      </w:r>
      <w:r>
        <w:rPr>
          <w:rFonts w:hint="eastAsia" w:ascii="Times New Roman" w:hAnsi="Times New Roman"/>
        </w:rPr>
        <w:t>燃料供应</w:t>
      </w:r>
      <w:r>
        <w:tab/>
      </w:r>
      <w:r>
        <w:fldChar w:fldCharType="begin"/>
      </w:r>
      <w:r>
        <w:instrText xml:space="preserve"> PAGEREF _Toc28667 </w:instrText>
      </w:r>
      <w:r>
        <w:fldChar w:fldCharType="separate"/>
      </w:r>
      <w:r>
        <w:t>2</w:t>
      </w:r>
      <w:r>
        <w:fldChar w:fldCharType="end"/>
      </w:r>
      <w:r>
        <w:fldChar w:fldCharType="end"/>
      </w:r>
    </w:p>
    <w:p>
      <w:pPr>
        <w:pStyle w:val="25"/>
        <w:tabs>
          <w:tab w:val="right" w:leader="dot" w:pos="8306"/>
        </w:tabs>
      </w:pPr>
      <w:r>
        <w:fldChar w:fldCharType="begin"/>
      </w:r>
      <w:r>
        <w:instrText xml:space="preserve"> HYPERLINK \l _Toc5067 </w:instrText>
      </w:r>
      <w:r>
        <w:fldChar w:fldCharType="separate"/>
      </w:r>
      <w:r>
        <w:rPr>
          <w:rFonts w:hint="eastAsia" w:ascii="Times New Roman" w:hAnsi="Times New Roman"/>
        </w:rPr>
        <w:t xml:space="preserve">10 </w:t>
      </w:r>
      <w:r>
        <w:rPr>
          <w:rFonts w:hint="eastAsia" w:ascii="Times New Roman" w:hAnsi="Times New Roman"/>
          <w:lang w:val="en-US" w:eastAsia="zh-CN"/>
        </w:rPr>
        <w:t xml:space="preserve"> </w:t>
      </w:r>
      <w:r>
        <w:rPr>
          <w:rFonts w:hint="eastAsia" w:ascii="Times New Roman" w:hAnsi="Times New Roman"/>
        </w:rPr>
        <w:t>动力装置（含推进及其它用气设备）</w:t>
      </w:r>
      <w:r>
        <w:tab/>
      </w:r>
      <w:r>
        <w:fldChar w:fldCharType="begin"/>
      </w:r>
      <w:r>
        <w:instrText xml:space="preserve"> PAGEREF _Toc5067 </w:instrText>
      </w:r>
      <w:r>
        <w:fldChar w:fldCharType="separate"/>
      </w:r>
      <w:r>
        <w:t>2</w:t>
      </w:r>
      <w:r>
        <w:fldChar w:fldCharType="end"/>
      </w:r>
      <w:r>
        <w:fldChar w:fldCharType="end"/>
      </w:r>
    </w:p>
    <w:p>
      <w:pPr>
        <w:pStyle w:val="25"/>
        <w:tabs>
          <w:tab w:val="right" w:leader="dot" w:pos="8306"/>
        </w:tabs>
      </w:pPr>
      <w:r>
        <w:fldChar w:fldCharType="begin"/>
      </w:r>
      <w:r>
        <w:instrText xml:space="preserve"> HYPERLINK \l _Toc2912 </w:instrText>
      </w:r>
      <w:r>
        <w:fldChar w:fldCharType="separate"/>
      </w:r>
      <w:r>
        <w:rPr>
          <w:rFonts w:hint="eastAsia" w:ascii="Times New Roman" w:hAnsi="Times New Roman"/>
        </w:rPr>
        <w:t>11</w:t>
      </w:r>
      <w:r>
        <w:rPr>
          <w:rFonts w:hint="eastAsia" w:ascii="Times New Roman" w:hAnsi="Times New Roman"/>
          <w:lang w:val="en-US" w:eastAsia="zh-CN"/>
        </w:rPr>
        <w:t xml:space="preserve"> </w:t>
      </w:r>
      <w:r>
        <w:rPr>
          <w:rFonts w:hint="eastAsia" w:ascii="Times New Roman" w:hAnsi="Times New Roman"/>
        </w:rPr>
        <w:t xml:space="preserve"> 消防</w:t>
      </w:r>
      <w:r>
        <w:tab/>
      </w:r>
      <w:r>
        <w:fldChar w:fldCharType="begin"/>
      </w:r>
      <w:r>
        <w:instrText xml:space="preserve"> PAGEREF _Toc2912 </w:instrText>
      </w:r>
      <w:r>
        <w:fldChar w:fldCharType="separate"/>
      </w:r>
      <w:r>
        <w:t>3</w:t>
      </w:r>
      <w:r>
        <w:fldChar w:fldCharType="end"/>
      </w:r>
      <w:r>
        <w:fldChar w:fldCharType="end"/>
      </w:r>
    </w:p>
    <w:p>
      <w:pPr>
        <w:pStyle w:val="25"/>
        <w:tabs>
          <w:tab w:val="right" w:leader="dot" w:pos="8306"/>
        </w:tabs>
      </w:pPr>
      <w:r>
        <w:fldChar w:fldCharType="begin"/>
      </w:r>
      <w:r>
        <w:instrText xml:space="preserve"> HYPERLINK \l _Toc23042 </w:instrText>
      </w:r>
      <w:r>
        <w:fldChar w:fldCharType="separate"/>
      </w:r>
      <w:r>
        <w:rPr>
          <w:rFonts w:hint="eastAsia" w:ascii="Times New Roman" w:hAnsi="Times New Roman"/>
          <w:lang w:val="en-US" w:eastAsia="zh-CN"/>
        </w:rPr>
        <w:t xml:space="preserve">15  </w:t>
      </w:r>
      <w:r>
        <w:t>控制、监测和安全系统</w:t>
      </w:r>
      <w:r>
        <w:tab/>
      </w:r>
      <w:r>
        <w:fldChar w:fldCharType="begin"/>
      </w:r>
      <w:r>
        <w:instrText xml:space="preserve"> PAGEREF _Toc23042 </w:instrText>
      </w:r>
      <w:r>
        <w:fldChar w:fldCharType="separate"/>
      </w:r>
      <w:r>
        <w:t>3</w:t>
      </w:r>
      <w:r>
        <w:fldChar w:fldCharType="end"/>
      </w:r>
      <w:r>
        <w:fldChar w:fldCharType="end"/>
      </w:r>
    </w:p>
    <w:p>
      <w:pPr>
        <w:pStyle w:val="21"/>
        <w:tabs>
          <w:tab w:val="right" w:leader="dot" w:pos="8306"/>
        </w:tabs>
      </w:pPr>
      <w:r>
        <w:fldChar w:fldCharType="begin"/>
      </w:r>
      <w:r>
        <w:instrText xml:space="preserve"> HYPERLINK \l _Toc29352 </w:instrText>
      </w:r>
      <w:r>
        <w:fldChar w:fldCharType="separate"/>
      </w:r>
      <w:r>
        <w:rPr>
          <w:rFonts w:hint="default" w:ascii="Times New Roman" w:hAnsi="Times New Roman" w:cs="Times New Roman"/>
          <w:lang w:val="en-US" w:eastAsia="zh-CN"/>
        </w:rPr>
        <w:t xml:space="preserve">B </w:t>
      </w:r>
      <w:r>
        <w:rPr>
          <w:rFonts w:hint="eastAsia" w:ascii="Times New Roman" w:hAnsi="Times New Roman" w:cs="Times New Roman"/>
          <w:lang w:val="en-US" w:eastAsia="zh-CN"/>
        </w:rPr>
        <w:t>部分</w:t>
      </w:r>
      <w:r>
        <w:tab/>
      </w:r>
      <w:r>
        <w:fldChar w:fldCharType="begin"/>
      </w:r>
      <w:r>
        <w:instrText xml:space="preserve"> PAGEREF _Toc29352 </w:instrText>
      </w:r>
      <w:r>
        <w:fldChar w:fldCharType="separate"/>
      </w:r>
      <w:r>
        <w:t>5</w:t>
      </w:r>
      <w:r>
        <w:fldChar w:fldCharType="end"/>
      </w:r>
      <w:r>
        <w:fldChar w:fldCharType="end"/>
      </w:r>
    </w:p>
    <w:p>
      <w:pPr>
        <w:pStyle w:val="25"/>
        <w:tabs>
          <w:tab w:val="right" w:leader="dot" w:pos="8306"/>
        </w:tabs>
      </w:pPr>
      <w:r>
        <w:fldChar w:fldCharType="begin"/>
      </w:r>
      <w:r>
        <w:instrText xml:space="preserve"> HYPERLINK \l _Toc27906 </w:instrText>
      </w:r>
      <w:r>
        <w:fldChar w:fldCharType="separate"/>
      </w:r>
      <w:r>
        <w:rPr>
          <w:rFonts w:hint="default" w:ascii="Times New Roman" w:hAnsi="Times New Roman"/>
          <w:lang w:val="en-US" w:eastAsia="zh-CN"/>
        </w:rPr>
        <w:t>16</w:t>
      </w:r>
      <w:r>
        <w:rPr>
          <w:rFonts w:hint="eastAsia" w:ascii="Times New Roman" w:hAnsi="Times New Roman"/>
          <w:lang w:val="en-US" w:eastAsia="zh-CN"/>
        </w:rPr>
        <w:t xml:space="preserve"> </w:t>
      </w:r>
      <w:r>
        <w:rPr>
          <w:rFonts w:hint="default" w:ascii="Times New Roman" w:hAnsi="Times New Roman"/>
          <w:lang w:val="en-US" w:eastAsia="zh-CN"/>
        </w:rPr>
        <w:t xml:space="preserve"> </w:t>
      </w:r>
      <w:r>
        <w:rPr>
          <w:rFonts w:hint="eastAsia" w:ascii="Times New Roman" w:hAnsi="Times New Roman"/>
          <w:lang w:val="en-US" w:eastAsia="zh-CN"/>
        </w:rPr>
        <w:t>制造、工艺和试验</w:t>
      </w:r>
      <w:r>
        <w:tab/>
      </w:r>
      <w:r>
        <w:fldChar w:fldCharType="begin"/>
      </w:r>
      <w:r>
        <w:instrText xml:space="preserve"> PAGEREF _Toc27906 </w:instrText>
      </w:r>
      <w:r>
        <w:fldChar w:fldCharType="separate"/>
      </w:r>
      <w:r>
        <w:t>5</w:t>
      </w:r>
      <w:r>
        <w:fldChar w:fldCharType="end"/>
      </w:r>
      <w:r>
        <w:fldChar w:fldCharType="end"/>
      </w:r>
    </w:p>
    <w:p>
      <w:pPr>
        <w:jc w:val="center"/>
        <w:outlineLvl w:val="0"/>
        <w:sectPr>
          <w:footerReference r:id="rId5" w:type="default"/>
          <w:pgSz w:w="11906" w:h="16838"/>
          <w:pgMar w:top="1440" w:right="1800" w:bottom="1440" w:left="1800" w:header="851" w:footer="992" w:gutter="0"/>
          <w:pgNumType w:fmt="upperRoman" w:start="1"/>
          <w:cols w:space="425" w:num="1"/>
          <w:docGrid w:type="lines" w:linePitch="312" w:charSpace="0"/>
        </w:sectPr>
      </w:pPr>
      <w:r>
        <w:fldChar w:fldCharType="end"/>
      </w:r>
    </w:p>
    <w:p>
      <w:pPr>
        <w:pStyle w:val="72"/>
        <w:outlineLvl w:val="0"/>
        <w:rPr>
          <w:rFonts w:ascii="Times New Roman" w:hAnsi="Times New Roman" w:cs="Times New Roman"/>
        </w:rPr>
      </w:pPr>
      <w:bookmarkStart w:id="17" w:name="_Toc10190"/>
      <w:r>
        <w:rPr>
          <w:rFonts w:ascii="Times New Roman" w:hAnsi="Times New Roman" w:cs="Times New Roman"/>
        </w:rPr>
        <w:t>A</w:t>
      </w:r>
      <w:r>
        <w:rPr>
          <w:rFonts w:hint="eastAsia" w:ascii="Times New Roman" w:hAnsi="Times New Roman" w:cs="Times New Roman"/>
          <w:lang w:val="en-US" w:eastAsia="zh-CN"/>
        </w:rPr>
        <w:t xml:space="preserve"> </w:t>
      </w:r>
      <w:r>
        <w:rPr>
          <w:rFonts w:ascii="Times New Roman" w:hAnsi="Times New Roman" w:cs="Times New Roman"/>
        </w:rPr>
        <w:t>部分</w:t>
      </w:r>
      <w:bookmarkEnd w:id="17"/>
    </w:p>
    <w:p>
      <w:pPr>
        <w:pStyle w:val="71"/>
        <w:jc w:val="center"/>
        <w:rPr>
          <w:rFonts w:ascii="Times New Roman" w:hAnsi="Times New Roman"/>
        </w:rPr>
      </w:pPr>
      <w:bookmarkStart w:id="18" w:name="_Toc15369"/>
      <w:r>
        <w:rPr>
          <w:rFonts w:hint="eastAsia" w:ascii="Times New Roman" w:hAnsi="Times New Roman"/>
        </w:rPr>
        <w:t>2</w:t>
      </w:r>
      <w:r>
        <w:rPr>
          <w:rFonts w:ascii="Times New Roman" w:hAnsi="Times New Roman"/>
        </w:rPr>
        <w:t xml:space="preserve">  通则</w:t>
      </w:r>
      <w:bookmarkEnd w:id="18"/>
    </w:p>
    <w:p>
      <w:pPr>
        <w:pStyle w:val="14"/>
        <w:ind w:firstLine="420" w:firstLineChars="200"/>
        <w:jc w:val="both"/>
        <w:outlineLvl w:val="3"/>
        <w:rPr>
          <w:rFonts w:hint="eastAsia" w:ascii="Times New Roman" w:hAnsi="Times New Roman" w:eastAsia="黑体" w:cs="Times New Roman"/>
          <w:bCs/>
        </w:rPr>
      </w:pPr>
      <w:r>
        <w:rPr>
          <w:rFonts w:hint="eastAsia" w:ascii="Times New Roman" w:hAnsi="Times New Roman" w:eastAsia="黑体" w:cs="Times New Roman"/>
          <w:bCs/>
        </w:rPr>
        <w:t>2.2 定义</w:t>
      </w:r>
    </w:p>
    <w:p>
      <w:pPr>
        <w:pStyle w:val="14"/>
        <w:jc w:val="both"/>
        <w:outlineLvl w:val="3"/>
        <w:rPr>
          <w:rFonts w:hint="eastAsia" w:ascii="Times New Roman" w:hAnsi="Times New Roman" w:eastAsia="黑体" w:cs="Times New Roman"/>
          <w:bCs/>
        </w:rPr>
      </w:pPr>
    </w:p>
    <w:p>
      <w:pPr>
        <w:keepNext w:val="0"/>
        <w:keepLines w:val="0"/>
        <w:pageBreakBefore w:val="0"/>
        <w:widowControl w:val="0"/>
        <w:kinsoku/>
        <w:wordWrap/>
        <w:overflowPunct/>
        <w:topLinePunct w:val="0"/>
        <w:autoSpaceDE/>
        <w:autoSpaceDN/>
        <w:bidi w:val="0"/>
        <w:adjustRightInd w:val="0"/>
        <w:snapToGrid w:val="0"/>
        <w:ind w:firstLine="420" w:firstLineChars="200"/>
        <w:textAlignment w:val="auto"/>
        <w:rPr>
          <w:rFonts w:hint="eastAsia" w:ascii="楷体" w:hAnsi="楷体" w:eastAsia="楷体" w:cs="楷体"/>
          <w:kern w:val="0"/>
          <w:szCs w:val="21"/>
        </w:rPr>
      </w:pPr>
      <w:r>
        <w:rPr>
          <w:rFonts w:hint="eastAsia" w:ascii="楷体" w:hAnsi="楷体" w:eastAsia="楷体" w:cs="楷体"/>
          <w:kern w:val="0"/>
          <w:szCs w:val="21"/>
        </w:rPr>
        <w:t>新增2.2.42如下：</w:t>
      </w:r>
    </w:p>
    <w:p>
      <w:pPr>
        <w:keepNext w:val="0"/>
        <w:keepLines w:val="0"/>
        <w:pageBreakBefore w:val="0"/>
        <w:widowControl w:val="0"/>
        <w:kinsoku/>
        <w:wordWrap/>
        <w:overflowPunct/>
        <w:topLinePunct w:val="0"/>
        <w:autoSpaceDE/>
        <w:autoSpaceDN/>
        <w:bidi w:val="0"/>
        <w:adjustRightInd w:val="0"/>
        <w:snapToGrid w:val="0"/>
        <w:ind w:firstLine="315" w:firstLineChars="150"/>
        <w:textAlignment w:val="auto"/>
        <w:rPr>
          <w:rFonts w:cs="Times New Roman"/>
          <w:color w:val="FF0000"/>
          <w:kern w:val="0"/>
          <w:szCs w:val="21"/>
          <w:u w:val="single"/>
        </w:rPr>
      </w:pPr>
      <w:r>
        <w:rPr>
          <w:rFonts w:ascii="宋体" w:hAnsi="宋体" w:cs="Times New Roman"/>
          <w:kern w:val="0"/>
          <w:szCs w:val="21"/>
        </w:rPr>
        <w:t>“</w:t>
      </w:r>
      <w:r>
        <w:rPr>
          <w:rFonts w:cs="Times New Roman"/>
          <w:color w:val="FF0000"/>
          <w:kern w:val="0"/>
          <w:szCs w:val="21"/>
          <w:u w:val="single"/>
        </w:rPr>
        <w:t>2.2.42　</w:t>
      </w:r>
      <w:r>
        <w:rPr>
          <w:rFonts w:hint="eastAsia" w:cs="Times New Roman"/>
          <w:color w:val="FF0000"/>
          <w:kern w:val="0"/>
          <w:szCs w:val="21"/>
          <w:u w:val="single"/>
        </w:rPr>
        <w:t>2</w:t>
      </w:r>
      <w:r>
        <w:rPr>
          <w:rFonts w:cs="Times New Roman"/>
          <w:color w:val="FF0000"/>
          <w:kern w:val="0"/>
          <w:szCs w:val="21"/>
          <w:u w:val="single"/>
        </w:rPr>
        <w:t>024</w:t>
      </w:r>
      <w:r>
        <w:rPr>
          <w:rFonts w:hint="eastAsia" w:cs="Times New Roman"/>
          <w:color w:val="FF0000"/>
          <w:kern w:val="0"/>
          <w:szCs w:val="21"/>
          <w:u w:val="single"/>
        </w:rPr>
        <w:t>年1月1日或以后建造的</w:t>
      </w:r>
      <w:r>
        <w:rPr>
          <w:rFonts w:cs="Times New Roman"/>
          <w:color w:val="FF0000"/>
          <w:kern w:val="0"/>
          <w:szCs w:val="21"/>
          <w:u w:val="single"/>
        </w:rPr>
        <w:t>船舶</w:t>
      </w:r>
      <w:r>
        <w:rPr>
          <w:rFonts w:hint="eastAsia" w:cs="Times New Roman"/>
          <w:color w:val="FF0000"/>
          <w:kern w:val="0"/>
          <w:szCs w:val="21"/>
          <w:u w:val="single"/>
        </w:rPr>
        <w:t>系指</w:t>
      </w:r>
      <w:r>
        <w:rPr>
          <w:rFonts w:cs="Times New Roman"/>
          <w:color w:val="FF0000"/>
          <w:kern w:val="0"/>
          <w:szCs w:val="21"/>
          <w:u w:val="single"/>
        </w:rPr>
        <w:t>：</w:t>
      </w:r>
    </w:p>
    <w:p>
      <w:pPr>
        <w:keepNext w:val="0"/>
        <w:keepLines w:val="0"/>
        <w:pageBreakBefore w:val="0"/>
        <w:widowControl w:val="0"/>
        <w:kinsoku/>
        <w:wordWrap/>
        <w:overflowPunct/>
        <w:topLinePunct w:val="0"/>
        <w:autoSpaceDE/>
        <w:autoSpaceDN/>
        <w:bidi w:val="0"/>
        <w:adjustRightInd w:val="0"/>
        <w:snapToGrid w:val="0"/>
        <w:textAlignment w:val="auto"/>
        <w:rPr>
          <w:rFonts w:cs="Times New Roman"/>
          <w:color w:val="FF0000"/>
          <w:kern w:val="0"/>
          <w:szCs w:val="21"/>
          <w:u w:val="single"/>
        </w:rPr>
      </w:pPr>
      <w:r>
        <w:rPr>
          <w:rFonts w:cs="Times New Roman"/>
          <w:color w:val="FF0000"/>
          <w:kern w:val="0"/>
          <w:szCs w:val="21"/>
          <w:u w:val="none"/>
        </w:rPr>
        <w:t xml:space="preserve">       </w:t>
      </w:r>
      <w:r>
        <w:rPr>
          <w:rFonts w:cs="Times New Roman"/>
          <w:color w:val="FF0000"/>
          <w:kern w:val="0"/>
          <w:szCs w:val="21"/>
          <w:u w:val="single"/>
        </w:rPr>
        <w:t xml:space="preserve"> .1  2024年1月1日或以后签订建造合同；</w:t>
      </w:r>
      <w:r>
        <w:rPr>
          <w:rFonts w:hint="eastAsia" w:cs="Times New Roman"/>
          <w:color w:val="FF0000"/>
          <w:kern w:val="0"/>
          <w:szCs w:val="21"/>
          <w:u w:val="single"/>
        </w:rPr>
        <w:t>或</w:t>
      </w:r>
    </w:p>
    <w:p>
      <w:pPr>
        <w:keepNext w:val="0"/>
        <w:keepLines w:val="0"/>
        <w:pageBreakBefore w:val="0"/>
        <w:widowControl w:val="0"/>
        <w:kinsoku/>
        <w:wordWrap/>
        <w:overflowPunct/>
        <w:topLinePunct w:val="0"/>
        <w:autoSpaceDE/>
        <w:autoSpaceDN/>
        <w:bidi w:val="0"/>
        <w:adjustRightInd w:val="0"/>
        <w:snapToGrid w:val="0"/>
        <w:textAlignment w:val="auto"/>
        <w:rPr>
          <w:rFonts w:cs="Times New Roman"/>
          <w:color w:val="FF0000"/>
          <w:kern w:val="0"/>
          <w:szCs w:val="21"/>
          <w:u w:val="single"/>
        </w:rPr>
      </w:pPr>
      <w:r>
        <w:rPr>
          <w:rFonts w:cs="Times New Roman"/>
          <w:color w:val="FF0000"/>
          <w:kern w:val="0"/>
          <w:szCs w:val="21"/>
          <w:u w:val="none"/>
        </w:rPr>
        <w:t xml:space="preserve">       </w:t>
      </w:r>
      <w:r>
        <w:rPr>
          <w:rFonts w:cs="Times New Roman"/>
          <w:color w:val="FF0000"/>
          <w:kern w:val="0"/>
          <w:szCs w:val="21"/>
          <w:u w:val="single"/>
        </w:rPr>
        <w:t xml:space="preserve"> .2  如无建造合同，2024年7月1日或以后安放龙骨或处于类似建造阶段；或</w:t>
      </w:r>
    </w:p>
    <w:p>
      <w:pPr>
        <w:keepNext w:val="0"/>
        <w:keepLines w:val="0"/>
        <w:pageBreakBefore w:val="0"/>
        <w:widowControl w:val="0"/>
        <w:kinsoku/>
        <w:wordWrap/>
        <w:overflowPunct/>
        <w:topLinePunct w:val="0"/>
        <w:autoSpaceDE/>
        <w:autoSpaceDN/>
        <w:bidi w:val="0"/>
        <w:adjustRightInd w:val="0"/>
        <w:snapToGrid w:val="0"/>
        <w:textAlignment w:val="auto"/>
        <w:rPr>
          <w:rFonts w:hint="eastAsia" w:cs="Times New Roman"/>
          <w:kern w:val="0"/>
          <w:szCs w:val="21"/>
          <w:lang w:eastAsia="zh-CN"/>
        </w:rPr>
      </w:pPr>
      <w:r>
        <w:rPr>
          <w:rFonts w:cs="Times New Roman"/>
          <w:strike w:val="0"/>
          <w:dstrike w:val="0"/>
          <w:color w:val="FF0000"/>
          <w:kern w:val="0"/>
          <w:szCs w:val="21"/>
          <w:u w:val="none"/>
        </w:rPr>
        <w:t xml:space="preserve">      </w:t>
      </w:r>
      <w:r>
        <w:rPr>
          <w:rFonts w:cs="Times New Roman"/>
          <w:color w:val="FF0000"/>
          <w:kern w:val="0"/>
          <w:szCs w:val="21"/>
          <w:u w:val="none"/>
        </w:rPr>
        <w:t xml:space="preserve"> </w:t>
      </w:r>
      <w:r>
        <w:rPr>
          <w:rFonts w:cs="Times New Roman"/>
          <w:color w:val="FF0000"/>
          <w:kern w:val="0"/>
          <w:szCs w:val="21"/>
          <w:u w:val="single"/>
        </w:rPr>
        <w:t xml:space="preserve"> .3  2028年1月1日或以后交付。</w:t>
      </w:r>
      <w:r>
        <w:rPr>
          <w:rFonts w:hint="eastAsia" w:cs="Times New Roman"/>
          <w:kern w:val="0"/>
          <w:szCs w:val="21"/>
          <w:lang w:eastAsia="zh-CN"/>
        </w:rPr>
        <w:t>”</w:t>
      </w:r>
    </w:p>
    <w:p>
      <w:pPr>
        <w:keepNext w:val="0"/>
        <w:keepLines w:val="0"/>
        <w:pageBreakBefore w:val="0"/>
        <w:widowControl w:val="0"/>
        <w:kinsoku/>
        <w:wordWrap/>
        <w:overflowPunct/>
        <w:topLinePunct w:val="0"/>
        <w:autoSpaceDE/>
        <w:autoSpaceDN/>
        <w:bidi w:val="0"/>
        <w:adjustRightInd w:val="0"/>
        <w:snapToGrid w:val="0"/>
        <w:textAlignment w:val="auto"/>
        <w:rPr>
          <w:rFonts w:hint="eastAsia" w:cs="Times New Roman"/>
          <w:kern w:val="0"/>
          <w:szCs w:val="21"/>
          <w:lang w:eastAsia="zh-CN"/>
        </w:rPr>
      </w:pPr>
    </w:p>
    <w:p>
      <w:pPr>
        <w:keepNext w:val="0"/>
        <w:keepLines w:val="0"/>
        <w:pageBreakBefore w:val="0"/>
        <w:widowControl w:val="0"/>
        <w:kinsoku/>
        <w:wordWrap/>
        <w:overflowPunct/>
        <w:topLinePunct w:val="0"/>
        <w:autoSpaceDE/>
        <w:autoSpaceDN/>
        <w:bidi w:val="0"/>
        <w:adjustRightInd w:val="0"/>
        <w:snapToGrid w:val="0"/>
        <w:textAlignment w:val="auto"/>
        <w:rPr>
          <w:rFonts w:hint="eastAsia" w:cs="Times New Roman"/>
          <w:kern w:val="0"/>
          <w:szCs w:val="21"/>
          <w:lang w:eastAsia="zh-CN"/>
        </w:rPr>
      </w:pPr>
    </w:p>
    <w:p>
      <w:pPr>
        <w:pStyle w:val="72"/>
        <w:outlineLvl w:val="0"/>
        <w:rPr>
          <w:rFonts w:ascii="Times New Roman" w:hAnsi="Times New Roman" w:cs="Times New Roman"/>
        </w:rPr>
      </w:pPr>
      <w:bookmarkStart w:id="19" w:name="_Toc8227"/>
      <w:r>
        <w:rPr>
          <w:rFonts w:ascii="Times New Roman" w:hAnsi="Times New Roman" w:cs="Times New Roman"/>
        </w:rPr>
        <w:t>A-1</w:t>
      </w:r>
      <w:r>
        <w:rPr>
          <w:rFonts w:hint="eastAsia" w:ascii="Times New Roman" w:hAnsi="Times New Roman" w:cs="Times New Roman"/>
          <w:lang w:val="en-US" w:eastAsia="zh-CN"/>
        </w:rPr>
        <w:t xml:space="preserve"> </w:t>
      </w:r>
      <w:r>
        <w:rPr>
          <w:rFonts w:ascii="Times New Roman" w:hAnsi="Times New Roman" w:cs="Times New Roman"/>
        </w:rPr>
        <w:t>部分</w:t>
      </w:r>
      <w:bookmarkEnd w:id="19"/>
    </w:p>
    <w:p>
      <w:pPr>
        <w:pStyle w:val="72"/>
        <w:outlineLvl w:val="0"/>
        <w:rPr>
          <w:rFonts w:ascii="Times New Roman" w:hAnsi="Times New Roman" w:cs="Times New Roman"/>
        </w:rPr>
      </w:pPr>
      <w:bookmarkStart w:id="20" w:name="_Toc32103"/>
      <w:r>
        <w:rPr>
          <w:rFonts w:hint="eastAsia" w:ascii="Times New Roman" w:hAnsi="Times New Roman" w:cs="Times New Roman"/>
        </w:rPr>
        <w:t>船舶使用天然气作为燃料的特殊要求</w:t>
      </w:r>
      <w:bookmarkEnd w:id="20"/>
    </w:p>
    <w:p>
      <w:pPr>
        <w:pStyle w:val="71"/>
        <w:jc w:val="center"/>
        <w:rPr>
          <w:rFonts w:hint="eastAsia" w:ascii="Times New Roman" w:hAnsi="Times New Roman"/>
        </w:rPr>
      </w:pPr>
      <w:bookmarkStart w:id="21" w:name="_Toc17687"/>
      <w:r>
        <w:rPr>
          <w:rFonts w:hint="eastAsia" w:ascii="Times New Roman" w:hAnsi="Times New Roman"/>
        </w:rPr>
        <w:t>5  船舶设计和布置</w:t>
      </w:r>
      <w:bookmarkEnd w:id="21"/>
    </w:p>
    <w:p>
      <w:pPr>
        <w:pStyle w:val="14"/>
        <w:ind w:firstLine="420" w:firstLineChars="200"/>
        <w:jc w:val="both"/>
        <w:outlineLvl w:val="3"/>
        <w:rPr>
          <w:rFonts w:hint="eastAsia" w:ascii="Times New Roman" w:hAnsi="Times New Roman" w:eastAsia="黑体" w:cs="Times New Roman"/>
          <w:bCs/>
        </w:rPr>
      </w:pPr>
      <w:r>
        <w:rPr>
          <w:rFonts w:hint="eastAsia" w:ascii="Times New Roman" w:hAnsi="Times New Roman" w:eastAsia="黑体" w:cs="Times New Roman"/>
          <w:bCs/>
        </w:rPr>
        <w:t>5.3  一般要求</w:t>
      </w:r>
    </w:p>
    <w:p>
      <w:pPr>
        <w:pStyle w:val="14"/>
        <w:jc w:val="both"/>
        <w:outlineLvl w:val="3"/>
        <w:rPr>
          <w:rFonts w:hint="eastAsia" w:ascii="Times New Roman" w:hAnsi="Times New Roman" w:eastAsia="黑体" w:cs="Times New Roman"/>
          <w:bCs/>
        </w:rPr>
      </w:pPr>
    </w:p>
    <w:p>
      <w:pPr>
        <w:pStyle w:val="42"/>
        <w:keepNext w:val="0"/>
        <w:keepLines w:val="0"/>
        <w:pageBreakBefore w:val="0"/>
        <w:widowControl w:val="0"/>
        <w:numPr>
          <w:ilvl w:val="2"/>
          <w:numId w:val="0"/>
        </w:numPr>
        <w:kinsoku/>
        <w:wordWrap/>
        <w:overflowPunct/>
        <w:topLinePunct w:val="0"/>
        <w:autoSpaceDE/>
        <w:autoSpaceDN/>
        <w:bidi w:val="0"/>
        <w:adjustRightInd w:val="0"/>
        <w:snapToGrid w:val="0"/>
        <w:spacing w:beforeLines="0" w:line="240" w:lineRule="auto"/>
        <w:ind w:leftChars="0" w:firstLine="420" w:firstLineChars="200"/>
        <w:textAlignment w:val="auto"/>
        <w:rPr>
          <w:color w:val="000000"/>
        </w:rPr>
      </w:pPr>
      <w:r>
        <w:rPr>
          <w:rFonts w:hint="eastAsia"/>
          <w:color w:val="000000"/>
          <w:lang w:val="en-US" w:eastAsia="zh-CN"/>
        </w:rPr>
        <w:t>5.3.4</w:t>
      </w:r>
      <w:r>
        <w:rPr>
          <w:rFonts w:hint="eastAsia"/>
          <w:color w:val="000000"/>
        </w:rPr>
        <w:t>作为</w:t>
      </w:r>
      <w:r>
        <w:rPr>
          <w:color w:val="000000"/>
        </w:rPr>
        <w:t>上述5.3.3.1的替代，可</w:t>
      </w:r>
      <w:r>
        <w:rPr>
          <w:rFonts w:hint="eastAsia"/>
          <w:color w:val="000000"/>
        </w:rPr>
        <w:t>采用</w:t>
      </w:r>
      <w:r>
        <w:rPr>
          <w:color w:val="000000"/>
        </w:rPr>
        <w:t>下面的</w:t>
      </w:r>
      <w:r>
        <w:rPr>
          <w:rFonts w:hint="eastAsia"/>
          <w:color w:val="000000"/>
        </w:rPr>
        <w:t>计算</w:t>
      </w:r>
      <w:r>
        <w:rPr>
          <w:color w:val="000000"/>
        </w:rPr>
        <w:t>方法</w:t>
      </w:r>
      <w:r>
        <w:rPr>
          <w:rFonts w:hint="eastAsia"/>
          <w:color w:val="000000"/>
        </w:rPr>
        <w:t>来</w:t>
      </w:r>
      <w:r>
        <w:rPr>
          <w:color w:val="000000"/>
        </w:rPr>
        <w:t>确定可接受</w:t>
      </w:r>
      <w:r>
        <w:rPr>
          <w:rFonts w:hint="eastAsia"/>
          <w:color w:val="000000"/>
        </w:rPr>
        <w:t>的</w:t>
      </w:r>
      <w:r>
        <w:rPr>
          <w:color w:val="000000"/>
        </w:rPr>
        <w:t>燃料舱布置位置：</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840" w:firstLineChars="400"/>
        <w:textAlignment w:val="auto"/>
        <w:rPr>
          <w:rFonts w:cs="Times New Roman"/>
          <w:color w:val="000000"/>
          <w:szCs w:val="21"/>
        </w:rPr>
      </w:pPr>
      <w:r>
        <w:rPr>
          <w:rFonts w:hint="eastAsia" w:cs="Times New Roman"/>
          <w:color w:val="000000"/>
          <w:szCs w:val="21"/>
        </w:rPr>
        <w:t>.1  按如下公式计算得出的</w:t>
      </w:r>
      <w:r>
        <w:rPr>
          <w:rFonts w:cs="Times New Roman"/>
          <w:color w:val="000000"/>
          <w:szCs w:val="21"/>
        </w:rPr>
        <w:t>f</w:t>
      </w:r>
      <w:r>
        <w:rPr>
          <w:rFonts w:cs="Times New Roman"/>
          <w:color w:val="000000"/>
          <w:szCs w:val="21"/>
          <w:vertAlign w:val="subscript"/>
        </w:rPr>
        <w:t>CN</w:t>
      </w:r>
      <w:r>
        <w:rPr>
          <w:rFonts w:cs="Times New Roman"/>
          <w:color w:val="000000"/>
          <w:szCs w:val="21"/>
        </w:rPr>
        <w:t>值</w:t>
      </w:r>
      <w:r>
        <w:rPr>
          <w:rFonts w:hint="eastAsia" w:cs="Times New Roman"/>
          <w:color w:val="000000"/>
          <w:szCs w:val="21"/>
        </w:rPr>
        <w:t>，对于客船</w:t>
      </w:r>
      <w:r>
        <w:rPr>
          <w:rFonts w:cs="Times New Roman"/>
          <w:color w:val="000000"/>
          <w:szCs w:val="21"/>
        </w:rPr>
        <w:t>应</w:t>
      </w:r>
      <w:r>
        <w:rPr>
          <w:rFonts w:hint="eastAsia" w:cs="Times New Roman"/>
          <w:color w:val="000000"/>
          <w:szCs w:val="21"/>
        </w:rPr>
        <w:t>小于</w:t>
      </w:r>
      <w:r>
        <w:rPr>
          <w:rFonts w:cs="Times New Roman"/>
          <w:color w:val="000000"/>
          <w:szCs w:val="21"/>
        </w:rPr>
        <w:t>0.02</w:t>
      </w:r>
      <w:r>
        <w:rPr>
          <w:rFonts w:hint="eastAsia" w:cs="Times New Roman"/>
          <w:color w:val="000000"/>
          <w:szCs w:val="21"/>
        </w:rPr>
        <w:t>，</w:t>
      </w:r>
      <w:r>
        <w:rPr>
          <w:rFonts w:cs="Times New Roman"/>
          <w:color w:val="000000"/>
          <w:szCs w:val="21"/>
        </w:rPr>
        <w:t>对于货船应</w:t>
      </w:r>
      <w:r>
        <w:rPr>
          <w:rFonts w:hint="eastAsia" w:cs="Times New Roman"/>
          <w:color w:val="000000"/>
          <w:szCs w:val="21"/>
        </w:rPr>
        <w:t>小于</w:t>
      </w:r>
      <w:r>
        <w:rPr>
          <w:rFonts w:cs="Times New Roman"/>
          <w:color w:val="000000"/>
          <w:szCs w:val="21"/>
        </w:rPr>
        <w:t>0.04</w:t>
      </w:r>
      <w:r>
        <w:rPr>
          <w:rStyle w:val="33"/>
          <w:rFonts w:cs="Times New Roman"/>
          <w:color w:val="000000"/>
          <w:szCs w:val="21"/>
        </w:rPr>
        <w:footnoteReference w:id="0"/>
      </w:r>
      <w:r>
        <w:rPr>
          <w:rFonts w:hint="eastAsia" w:cs="Times New Roman"/>
          <w:color w:val="000000"/>
          <w:szCs w:val="21"/>
        </w:rPr>
        <w:t>。</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840" w:firstLineChars="400"/>
        <w:textAlignment w:val="auto"/>
        <w:rPr>
          <w:rFonts w:cs="Times New Roman"/>
          <w:color w:val="000000"/>
          <w:szCs w:val="21"/>
        </w:rPr>
      </w:pPr>
      <w:r>
        <w:rPr>
          <w:rFonts w:hint="eastAsia" w:cs="Times New Roman"/>
          <w:color w:val="000000"/>
          <w:szCs w:val="21"/>
        </w:rPr>
        <w:t>.2  根据</w:t>
      </w:r>
      <w:r>
        <w:rPr>
          <w:rFonts w:cs="Times New Roman"/>
          <w:color w:val="000000"/>
          <w:szCs w:val="21"/>
        </w:rPr>
        <w:t>下列公式计算</w:t>
      </w:r>
      <w:r>
        <w:rPr>
          <w:rFonts w:hint="eastAsia" w:cs="Times New Roman"/>
          <w:color w:val="000000"/>
          <w:szCs w:val="21"/>
        </w:rPr>
        <w:t>f</w:t>
      </w:r>
      <w:r>
        <w:rPr>
          <w:rFonts w:hint="eastAsia" w:cs="Times New Roman"/>
          <w:color w:val="000000"/>
          <w:szCs w:val="21"/>
          <w:vertAlign w:val="subscript"/>
        </w:rPr>
        <w:t>CN</w:t>
      </w:r>
      <w:r>
        <w:rPr>
          <w:rFonts w:hint="eastAsia" w:cs="Times New Roman"/>
          <w:color w:val="000000"/>
          <w:szCs w:val="21"/>
        </w:rPr>
        <w:t>值</w:t>
      </w:r>
      <w:r>
        <w:rPr>
          <w:rFonts w:cs="Times New Roman"/>
          <w:color w:val="000000"/>
          <w:szCs w:val="21"/>
        </w:rPr>
        <w:t>：</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cs="Times New Roman"/>
          <w:color w:val="000000"/>
          <w:szCs w:val="21"/>
        </w:rPr>
      </w:pPr>
      <w:r>
        <w:rPr>
          <w:rFonts w:hint="eastAsia" w:cs="Times New Roman"/>
          <w:color w:val="000000"/>
          <w:szCs w:val="21"/>
        </w:rPr>
        <w:t>f</w:t>
      </w:r>
      <w:r>
        <w:rPr>
          <w:rFonts w:hint="eastAsia" w:cs="Times New Roman"/>
          <w:color w:val="000000"/>
          <w:szCs w:val="21"/>
          <w:vertAlign w:val="subscript"/>
        </w:rPr>
        <w:t>CN</w:t>
      </w:r>
      <w:r>
        <w:rPr>
          <w:rFonts w:hint="eastAsia" w:cs="Times New Roman"/>
          <w:color w:val="000000"/>
          <w:szCs w:val="21"/>
        </w:rPr>
        <w:t>=f</w:t>
      </w:r>
      <w:r>
        <w:rPr>
          <w:rFonts w:hint="eastAsia" w:cs="Times New Roman"/>
          <w:color w:val="000000"/>
          <w:szCs w:val="21"/>
          <w:vertAlign w:val="subscript"/>
        </w:rPr>
        <w:t>l</w:t>
      </w:r>
      <w:r>
        <w:rPr>
          <w:rFonts w:hint="eastAsia" w:cs="Times New Roman"/>
          <w:color w:val="000000"/>
          <w:szCs w:val="21"/>
        </w:rPr>
        <w:t>×</w:t>
      </w:r>
      <w:r>
        <w:rPr>
          <w:rFonts w:cs="Times New Roman"/>
          <w:color w:val="000000"/>
          <w:szCs w:val="21"/>
        </w:rPr>
        <w:t>f</w:t>
      </w:r>
      <w:r>
        <w:rPr>
          <w:rFonts w:cs="Times New Roman"/>
          <w:color w:val="000000"/>
          <w:szCs w:val="21"/>
          <w:vertAlign w:val="subscript"/>
        </w:rPr>
        <w:t>t</w:t>
      </w:r>
      <w:r>
        <w:rPr>
          <w:rFonts w:hint="eastAsia" w:cs="Times New Roman"/>
          <w:color w:val="000000"/>
          <w:szCs w:val="21"/>
        </w:rPr>
        <w:t>×</w:t>
      </w:r>
      <w:r>
        <w:rPr>
          <w:rFonts w:cs="Times New Roman"/>
          <w:color w:val="000000"/>
          <w:szCs w:val="21"/>
        </w:rPr>
        <w:t>f</w:t>
      </w:r>
      <w:r>
        <w:rPr>
          <w:rFonts w:cs="Times New Roman"/>
          <w:color w:val="000000"/>
          <w:szCs w:val="21"/>
          <w:vertAlign w:val="subscript"/>
        </w:rPr>
        <w:t>v</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textAlignment w:val="auto"/>
        <w:rPr>
          <w:rFonts w:cs="Times New Roman"/>
          <w:color w:val="000000"/>
          <w:szCs w:val="21"/>
        </w:rPr>
      </w:pPr>
      <w:r>
        <w:rPr>
          <w:rFonts w:hint="eastAsia" w:cs="Times New Roman"/>
          <w:color w:val="000000"/>
          <w:szCs w:val="21"/>
        </w:rPr>
        <w:t>式中</w:t>
      </w:r>
      <w:r>
        <w:rPr>
          <w:rFonts w:cs="Times New Roman"/>
          <w:color w:val="000000"/>
          <w:szCs w:val="21"/>
        </w:rPr>
        <w:t>，</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textAlignment w:val="auto"/>
        <w:rPr>
          <w:rFonts w:cs="Times New Roman"/>
          <w:color w:val="000000"/>
          <w:szCs w:val="21"/>
        </w:rPr>
      </w:pPr>
      <w:r>
        <w:rPr>
          <w:rFonts w:cs="Times New Roman"/>
          <w:color w:val="000000"/>
          <w:szCs w:val="21"/>
        </w:rPr>
        <w:t>f</w:t>
      </w:r>
      <w:r>
        <w:rPr>
          <w:rFonts w:cs="Times New Roman"/>
          <w:color w:val="000000"/>
          <w:szCs w:val="21"/>
          <w:vertAlign w:val="subscript"/>
        </w:rPr>
        <w:t>l</w:t>
      </w:r>
      <w:r>
        <w:rPr>
          <w:rFonts w:hint="eastAsia" w:cs="Times New Roman"/>
          <w:color w:val="000000"/>
          <w:szCs w:val="21"/>
        </w:rPr>
        <w:t>采用</w:t>
      </w:r>
      <w:r>
        <w:rPr>
          <w:rFonts w:cs="Times New Roman"/>
          <w:color w:val="000000"/>
          <w:szCs w:val="21"/>
        </w:rPr>
        <w:t>SOLAS公约第II-1</w:t>
      </w:r>
      <w:r>
        <w:rPr>
          <w:rFonts w:hint="eastAsia" w:cs="Times New Roman"/>
          <w:color w:val="000000"/>
          <w:szCs w:val="21"/>
        </w:rPr>
        <w:t>/7-1.1.1.1 中</w:t>
      </w:r>
      <w:r>
        <w:rPr>
          <w:rFonts w:cs="Times New Roman"/>
          <w:color w:val="000000"/>
          <w:szCs w:val="21"/>
        </w:rPr>
        <w:t>因子p的公式</w:t>
      </w:r>
      <w:r>
        <w:rPr>
          <w:rFonts w:hint="eastAsia" w:cs="Times New Roman"/>
          <w:color w:val="000000"/>
          <w:szCs w:val="21"/>
        </w:rPr>
        <w:t>来</w:t>
      </w:r>
      <w:r>
        <w:rPr>
          <w:rFonts w:cs="Times New Roman"/>
          <w:color w:val="000000"/>
          <w:szCs w:val="21"/>
        </w:rPr>
        <w:t>计算。X</w:t>
      </w:r>
      <w:r>
        <w:rPr>
          <w:rFonts w:hint="eastAsia" w:cs="Times New Roman"/>
          <w:color w:val="000000"/>
          <w:szCs w:val="21"/>
          <w:vertAlign w:val="subscript"/>
        </w:rPr>
        <w:t>1</w:t>
      </w:r>
      <w:r>
        <w:rPr>
          <w:rFonts w:hint="eastAsia" w:cs="Times New Roman"/>
          <w:color w:val="000000"/>
          <w:szCs w:val="21"/>
        </w:rPr>
        <w:t>的</w:t>
      </w:r>
      <w:r>
        <w:rPr>
          <w:rFonts w:cs="Times New Roman"/>
          <w:color w:val="000000"/>
          <w:szCs w:val="21"/>
        </w:rPr>
        <w:t>值相当于</w:t>
      </w:r>
      <w:r>
        <w:rPr>
          <w:rFonts w:hint="eastAsia" w:cs="Times New Roman"/>
          <w:color w:val="000000"/>
          <w:szCs w:val="21"/>
        </w:rPr>
        <w:t>从船舶</w:t>
      </w:r>
      <w:r>
        <w:rPr>
          <w:rFonts w:cs="Times New Roman"/>
          <w:color w:val="000000"/>
          <w:szCs w:val="21"/>
        </w:rPr>
        <w:t>后端点到燃料舱最后边界的距离，X</w:t>
      </w:r>
      <w:r>
        <w:rPr>
          <w:rFonts w:cs="Times New Roman"/>
          <w:color w:val="000000"/>
          <w:szCs w:val="21"/>
          <w:vertAlign w:val="subscript"/>
        </w:rPr>
        <w:t>2</w:t>
      </w:r>
      <w:r>
        <w:rPr>
          <w:rFonts w:hint="eastAsia" w:cs="Times New Roman"/>
          <w:color w:val="000000"/>
          <w:szCs w:val="21"/>
        </w:rPr>
        <w:t>的</w:t>
      </w:r>
      <w:r>
        <w:rPr>
          <w:rFonts w:cs="Times New Roman"/>
          <w:color w:val="000000"/>
          <w:szCs w:val="21"/>
        </w:rPr>
        <w:t>值相当于</w:t>
      </w:r>
      <w:r>
        <w:rPr>
          <w:rFonts w:hint="eastAsia" w:cs="Times New Roman"/>
          <w:color w:val="000000"/>
          <w:szCs w:val="21"/>
        </w:rPr>
        <w:t>从船舶</w:t>
      </w:r>
      <w:r>
        <w:rPr>
          <w:rFonts w:cs="Times New Roman"/>
          <w:color w:val="000000"/>
          <w:szCs w:val="21"/>
        </w:rPr>
        <w:t>后端点到燃料舱最</w:t>
      </w:r>
      <w:r>
        <w:rPr>
          <w:rFonts w:hint="eastAsia" w:cs="Times New Roman"/>
          <w:color w:val="000000"/>
          <w:szCs w:val="21"/>
        </w:rPr>
        <w:t>前</w:t>
      </w:r>
      <w:r>
        <w:rPr>
          <w:rFonts w:cs="Times New Roman"/>
          <w:color w:val="000000"/>
          <w:szCs w:val="21"/>
        </w:rPr>
        <w:t>边界的距离</w:t>
      </w:r>
      <w:r>
        <w:rPr>
          <w:rFonts w:hint="eastAsia" w:cs="Times New Roman"/>
          <w:color w:val="000000"/>
          <w:szCs w:val="21"/>
        </w:rPr>
        <w:t>。</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textAlignment w:val="auto"/>
        <w:rPr>
          <w:rFonts w:cs="Times New Roman"/>
          <w:color w:val="000000"/>
          <w:szCs w:val="21"/>
        </w:rPr>
      </w:pPr>
      <w:r>
        <w:rPr>
          <w:rFonts w:cs="Times New Roman"/>
          <w:color w:val="000000"/>
          <w:szCs w:val="21"/>
        </w:rPr>
        <w:t>f</w:t>
      </w:r>
      <w:r>
        <w:rPr>
          <w:rFonts w:cs="Times New Roman"/>
          <w:color w:val="000000"/>
          <w:szCs w:val="21"/>
          <w:vertAlign w:val="subscript"/>
        </w:rPr>
        <w:t>t</w:t>
      </w:r>
      <w:r>
        <w:rPr>
          <w:rFonts w:hint="eastAsia" w:cs="Times New Roman"/>
          <w:color w:val="000000"/>
          <w:szCs w:val="21"/>
        </w:rPr>
        <w:t>采用</w:t>
      </w:r>
      <w:r>
        <w:rPr>
          <w:rFonts w:cs="Times New Roman"/>
          <w:color w:val="000000"/>
          <w:szCs w:val="21"/>
        </w:rPr>
        <w:t>SOLAS公约第II-1</w:t>
      </w:r>
      <w:r>
        <w:rPr>
          <w:rFonts w:hint="eastAsia" w:cs="Times New Roman"/>
          <w:color w:val="000000"/>
          <w:szCs w:val="21"/>
        </w:rPr>
        <w:t>/7-1.1.</w:t>
      </w:r>
      <w:r>
        <w:rPr>
          <w:rFonts w:cs="Times New Roman"/>
          <w:color w:val="000000"/>
          <w:szCs w:val="21"/>
        </w:rPr>
        <w:t>2</w:t>
      </w:r>
      <w:r>
        <w:rPr>
          <w:rFonts w:hint="eastAsia" w:cs="Times New Roman"/>
          <w:color w:val="000000"/>
          <w:szCs w:val="21"/>
        </w:rPr>
        <w:t xml:space="preserve"> 中</w:t>
      </w:r>
      <w:r>
        <w:rPr>
          <w:rFonts w:cs="Times New Roman"/>
          <w:color w:val="000000"/>
          <w:szCs w:val="21"/>
        </w:rPr>
        <w:t>因子r的公式</w:t>
      </w:r>
      <w:r>
        <w:rPr>
          <w:rFonts w:hint="eastAsia" w:cs="Times New Roman"/>
          <w:color w:val="000000"/>
          <w:szCs w:val="21"/>
        </w:rPr>
        <w:t>来</w:t>
      </w:r>
      <w:r>
        <w:rPr>
          <w:rFonts w:cs="Times New Roman"/>
          <w:color w:val="000000"/>
          <w:szCs w:val="21"/>
        </w:rPr>
        <w:t>计算</w:t>
      </w:r>
      <w:r>
        <w:rPr>
          <w:rFonts w:hint="eastAsia" w:cs="Times New Roman"/>
          <w:color w:val="000000"/>
          <w:szCs w:val="21"/>
        </w:rPr>
        <w:t>，该值</w:t>
      </w:r>
      <w:r>
        <w:rPr>
          <w:rFonts w:cs="Times New Roman"/>
          <w:color w:val="000000"/>
          <w:szCs w:val="21"/>
        </w:rPr>
        <w:t>反映了穿透燃料舱</w:t>
      </w:r>
      <w:r>
        <w:rPr>
          <w:rFonts w:hint="eastAsia" w:cs="Times New Roman"/>
          <w:color w:val="000000"/>
          <w:szCs w:val="21"/>
        </w:rPr>
        <w:t>外层边界</w:t>
      </w:r>
      <w:r>
        <w:rPr>
          <w:rFonts w:cs="Times New Roman"/>
          <w:color w:val="000000"/>
          <w:szCs w:val="21"/>
        </w:rPr>
        <w:t>损伤的概率。公式</w:t>
      </w:r>
      <w:r>
        <w:rPr>
          <w:rFonts w:hint="eastAsia" w:cs="Times New Roman"/>
          <w:color w:val="000000"/>
          <w:szCs w:val="21"/>
        </w:rPr>
        <w:t>为</w:t>
      </w:r>
      <w:r>
        <w:rPr>
          <w:rFonts w:cs="Times New Roman"/>
          <w:color w:val="000000"/>
          <w:szCs w:val="21"/>
        </w:rPr>
        <w:t>：</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cs="Times New Roman"/>
          <w:color w:val="000000"/>
          <w:szCs w:val="21"/>
        </w:rPr>
      </w:pPr>
      <w:r>
        <w:rPr>
          <w:rFonts w:hint="eastAsia" w:cs="Times New Roman"/>
          <w:color w:val="000000"/>
          <w:szCs w:val="21"/>
        </w:rPr>
        <w:t>f</w:t>
      </w:r>
      <w:r>
        <w:rPr>
          <w:rFonts w:cs="Times New Roman"/>
          <w:color w:val="000000"/>
          <w:szCs w:val="21"/>
          <w:vertAlign w:val="subscript"/>
        </w:rPr>
        <w:t>t</w:t>
      </w:r>
      <w:r>
        <w:rPr>
          <w:rFonts w:cs="Times New Roman"/>
          <w:color w:val="000000"/>
          <w:szCs w:val="21"/>
        </w:rPr>
        <w:t>=1-r</w:t>
      </w:r>
      <w:r>
        <w:rPr>
          <w:rFonts w:hint="eastAsia" w:cs="Times New Roman"/>
          <w:color w:val="000000"/>
          <w:szCs w:val="21"/>
        </w:rPr>
        <w:t>(</w:t>
      </w:r>
      <w:r>
        <w:rPr>
          <w:rFonts w:cs="Times New Roman"/>
          <w:color w:val="000000"/>
          <w:szCs w:val="21"/>
        </w:rPr>
        <w:t>x1</w:t>
      </w:r>
      <w:r>
        <w:rPr>
          <w:rFonts w:hint="eastAsia" w:cs="Times New Roman"/>
          <w:color w:val="000000"/>
          <w:szCs w:val="21"/>
        </w:rPr>
        <w:t>,x2,b)</w:t>
      </w:r>
      <w:r>
        <w:rPr>
          <w:rStyle w:val="33"/>
          <w:rFonts w:cs="Times New Roman"/>
          <w:color w:val="000000"/>
          <w:szCs w:val="21"/>
        </w:rPr>
        <w:footnoteReference w:id="1"/>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textAlignment w:val="auto"/>
        <w:rPr>
          <w:rFonts w:cs="Times New Roman"/>
          <w:color w:val="000000"/>
          <w:szCs w:val="21"/>
        </w:rPr>
      </w:pP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textAlignment w:val="auto"/>
        <w:rPr>
          <w:rFonts w:cs="Times New Roman"/>
          <w:color w:val="FF0000"/>
          <w:kern w:val="0"/>
          <w:szCs w:val="21"/>
        </w:rPr>
      </w:pPr>
      <w:r>
        <w:rPr>
          <w:rFonts w:cs="Times New Roman"/>
          <w:color w:val="000000"/>
          <w:szCs w:val="21"/>
        </w:rPr>
        <w:t>f</w:t>
      </w:r>
      <w:r>
        <w:rPr>
          <w:rFonts w:hint="eastAsia" w:cs="Times New Roman"/>
          <w:color w:val="000000"/>
          <w:szCs w:val="21"/>
          <w:vertAlign w:val="subscript"/>
        </w:rPr>
        <w:t>v</w:t>
      </w:r>
      <w:r>
        <w:rPr>
          <w:rFonts w:hint="eastAsia" w:cs="Times New Roman"/>
          <w:color w:val="000000"/>
          <w:szCs w:val="21"/>
        </w:rPr>
        <w:t>采用</w:t>
      </w:r>
      <w:r>
        <w:rPr>
          <w:rFonts w:cs="Times New Roman"/>
          <w:color w:val="000000"/>
          <w:szCs w:val="21"/>
        </w:rPr>
        <w:t>SOLAS公约第II-1</w:t>
      </w:r>
      <w:r>
        <w:rPr>
          <w:rFonts w:hint="eastAsia" w:cs="Times New Roman"/>
          <w:color w:val="000000"/>
          <w:szCs w:val="21"/>
        </w:rPr>
        <w:t>/7-</w:t>
      </w:r>
      <w:r>
        <w:rPr>
          <w:rFonts w:cs="Times New Roman"/>
          <w:color w:val="000000"/>
          <w:szCs w:val="21"/>
        </w:rPr>
        <w:t>2.6.1.1</w:t>
      </w:r>
      <w:r>
        <w:rPr>
          <w:rFonts w:hint="eastAsia" w:cs="Times New Roman"/>
          <w:color w:val="000000"/>
          <w:szCs w:val="21"/>
        </w:rPr>
        <w:t xml:space="preserve"> 中</w:t>
      </w:r>
      <w:r>
        <w:rPr>
          <w:rFonts w:cs="Times New Roman"/>
          <w:color w:val="000000"/>
          <w:szCs w:val="21"/>
        </w:rPr>
        <w:t>因子v的公式</w:t>
      </w:r>
      <w:r>
        <w:rPr>
          <w:rFonts w:hint="eastAsia" w:cs="Times New Roman"/>
          <w:color w:val="000000"/>
          <w:szCs w:val="21"/>
        </w:rPr>
        <w:t>来</w:t>
      </w:r>
      <w:r>
        <w:rPr>
          <w:rFonts w:cs="Times New Roman"/>
          <w:color w:val="000000"/>
          <w:szCs w:val="21"/>
        </w:rPr>
        <w:t>计算</w:t>
      </w:r>
      <w:r>
        <w:rPr>
          <w:rFonts w:hint="eastAsia" w:cs="Times New Roman"/>
          <w:color w:val="000000"/>
          <w:szCs w:val="21"/>
        </w:rPr>
        <w:t>，该值</w:t>
      </w:r>
      <w:r>
        <w:rPr>
          <w:rFonts w:cs="Times New Roman"/>
          <w:color w:val="000000"/>
          <w:szCs w:val="21"/>
        </w:rPr>
        <w:t>反映了</w:t>
      </w:r>
      <w:r>
        <w:rPr>
          <w:rFonts w:hint="eastAsia" w:cs="Times New Roman"/>
          <w:color w:val="000000"/>
          <w:szCs w:val="21"/>
        </w:rPr>
        <w:t>在</w:t>
      </w:r>
      <w:r>
        <w:rPr>
          <w:rFonts w:cs="Times New Roman"/>
          <w:color w:val="000000"/>
          <w:szCs w:val="21"/>
        </w:rPr>
        <w:t>垂向，损伤</w:t>
      </w:r>
      <w:r>
        <w:rPr>
          <w:rFonts w:cs="Times New Roman"/>
          <w:color w:val="FF0000"/>
          <w:szCs w:val="21"/>
        </w:rPr>
        <w:t>未</w:t>
      </w:r>
      <w:r>
        <w:rPr>
          <w:rFonts w:cs="Times New Roman"/>
          <w:color w:val="000000"/>
          <w:szCs w:val="21"/>
        </w:rPr>
        <w:t>延展到燃料舱最低边界以上的概率。</w:t>
      </w:r>
      <w:r>
        <w:rPr>
          <w:rFonts w:hint="eastAsia" w:cs="Times New Roman"/>
          <w:color w:val="000000"/>
          <w:szCs w:val="21"/>
        </w:rPr>
        <w:t>公式</w:t>
      </w:r>
      <w:r>
        <w:rPr>
          <w:rFonts w:cs="Times New Roman"/>
          <w:color w:val="000000"/>
          <w:szCs w:val="21"/>
        </w:rPr>
        <w:t>为：</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textAlignment w:val="auto"/>
        <w:rPr>
          <w:rFonts w:cs="Times New Roman"/>
          <w:color w:val="auto"/>
          <w:kern w:val="0"/>
          <w:szCs w:val="21"/>
        </w:rPr>
      </w:pPr>
      <w:r>
        <w:rPr>
          <w:rFonts w:hint="eastAsia" w:ascii="楷体" w:hAnsi="楷体" w:eastAsia="楷体" w:cs="楷体"/>
          <w:color w:val="auto"/>
          <w:kern w:val="0"/>
          <w:szCs w:val="21"/>
        </w:rPr>
        <w:t>自</w:t>
      </w:r>
      <w:r>
        <w:rPr>
          <w:rFonts w:hint="eastAsia" w:ascii="楷体" w:hAnsi="楷体" w:eastAsia="楷体" w:cs="楷体"/>
          <w:color w:val="auto"/>
          <w:kern w:val="0"/>
          <w:szCs w:val="21"/>
          <w:lang w:val="en-US"/>
        </w:rPr>
        <w:t>2024</w:t>
      </w:r>
      <w:r>
        <w:rPr>
          <w:rFonts w:hint="eastAsia" w:ascii="楷体" w:hAnsi="楷体" w:eastAsia="楷体" w:cs="楷体"/>
          <w:color w:val="auto"/>
          <w:kern w:val="0"/>
          <w:szCs w:val="21"/>
        </w:rPr>
        <w:t>年</w:t>
      </w:r>
      <w:r>
        <w:rPr>
          <w:rFonts w:hint="eastAsia" w:ascii="楷体" w:hAnsi="楷体" w:eastAsia="楷体" w:cs="楷体"/>
          <w:color w:val="auto"/>
          <w:kern w:val="0"/>
          <w:szCs w:val="21"/>
          <w:lang w:val="en-US"/>
        </w:rPr>
        <w:t>1</w:t>
      </w:r>
      <w:r>
        <w:rPr>
          <w:rFonts w:hint="eastAsia" w:ascii="楷体" w:hAnsi="楷体" w:eastAsia="楷体" w:cs="楷体"/>
          <w:color w:val="auto"/>
          <w:kern w:val="0"/>
          <w:szCs w:val="21"/>
        </w:rPr>
        <w:t>月</w:t>
      </w:r>
      <w:r>
        <w:rPr>
          <w:rFonts w:hint="eastAsia" w:ascii="楷体" w:hAnsi="楷体" w:eastAsia="楷体" w:cs="楷体"/>
          <w:color w:val="auto"/>
          <w:kern w:val="0"/>
          <w:szCs w:val="21"/>
          <w:lang w:val="en-US"/>
        </w:rPr>
        <w:t>1</w:t>
      </w:r>
      <w:r>
        <w:rPr>
          <w:rFonts w:hint="eastAsia" w:ascii="楷体" w:hAnsi="楷体" w:eastAsia="楷体" w:cs="楷体"/>
          <w:color w:val="auto"/>
          <w:kern w:val="0"/>
          <w:szCs w:val="21"/>
        </w:rPr>
        <w:t>日起，5.3.4.2条对</w:t>
      </w:r>
      <m:oMath>
        <m:sSub>
          <m:sSubPr>
            <m:ctrlPr>
              <w:rPr>
                <w:rFonts w:hint="eastAsia" w:ascii="Cambria Math" w:hAnsi="Cambria Math" w:eastAsia="楷体" w:cs="楷体"/>
                <w:color w:val="auto"/>
                <w:kern w:val="0"/>
                <w:szCs w:val="21"/>
              </w:rPr>
            </m:ctrlPr>
          </m:sSubPr>
          <m:e>
            <m:r>
              <w:rPr>
                <w:rFonts w:hint="eastAsia" w:ascii="Cambria Math" w:hAnsi="Cambria Math" w:eastAsia="楷体" w:cs="楷体"/>
                <w:color w:val="auto"/>
                <w:kern w:val="0"/>
                <w:szCs w:val="21"/>
              </w:rPr>
              <m:t>f</m:t>
            </m:r>
            <m:ctrlPr>
              <w:rPr>
                <w:rFonts w:hint="eastAsia" w:ascii="Cambria Math" w:hAnsi="Cambria Math" w:eastAsia="楷体" w:cs="楷体"/>
                <w:color w:val="auto"/>
                <w:kern w:val="0"/>
                <w:szCs w:val="21"/>
              </w:rPr>
            </m:ctrlPr>
          </m:e>
          <m:sub>
            <m:r>
              <w:rPr>
                <w:rFonts w:hint="eastAsia" w:ascii="Cambria Math" w:hAnsi="Cambria Math" w:eastAsia="楷体" w:cs="楷体"/>
                <w:color w:val="auto"/>
                <w:kern w:val="0"/>
                <w:szCs w:val="21"/>
              </w:rPr>
              <m:t>V</m:t>
            </m:r>
            <m:ctrlPr>
              <w:rPr>
                <w:rFonts w:hint="eastAsia" w:ascii="Cambria Math" w:hAnsi="Cambria Math" w:eastAsia="楷体" w:cs="楷体"/>
                <w:color w:val="auto"/>
                <w:kern w:val="0"/>
                <w:szCs w:val="21"/>
              </w:rPr>
            </m:ctrlPr>
          </m:sub>
        </m:sSub>
      </m:oMath>
      <w:r>
        <w:rPr>
          <w:rFonts w:hint="eastAsia" w:ascii="楷体" w:hAnsi="楷体" w:eastAsia="楷体" w:cs="楷体"/>
          <w:color w:val="auto"/>
          <w:kern w:val="0"/>
          <w:szCs w:val="21"/>
        </w:rPr>
        <w:t>的定义替换为下文：</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textAlignment w:val="auto"/>
        <w:rPr>
          <w:rFonts w:cs="Times New Roman"/>
          <w:kern w:val="0"/>
          <w:szCs w:val="21"/>
        </w:rPr>
      </w:pPr>
      <w:r>
        <w:rPr>
          <w:rFonts w:cs="Times New Roman"/>
          <w:kern w:val="0"/>
          <w:szCs w:val="21"/>
        </w:rPr>
        <w:t>“</w:t>
      </w:r>
      <m:oMath>
        <m:sSub>
          <m:sSubPr>
            <m:ctrlPr>
              <w:rPr>
                <w:rFonts w:ascii="Cambria Math" w:hAnsi="Cambria Math" w:cs="Times New Roman"/>
                <w:color w:val="FF0000"/>
                <w:kern w:val="0"/>
                <w:szCs w:val="21"/>
                <w:u w:val="single"/>
              </w:rPr>
            </m:ctrlPr>
          </m:sSubPr>
          <m:e>
            <m:r>
              <w:rPr>
                <w:rFonts w:ascii="Cambria Math" w:hAnsi="Cambria Math" w:cs="Times New Roman"/>
                <w:color w:val="FF0000"/>
                <w:kern w:val="0"/>
                <w:szCs w:val="21"/>
                <w:u w:val="single"/>
              </w:rPr>
              <m:t>f</m:t>
            </m:r>
            <m:ctrlPr>
              <w:rPr>
                <w:rFonts w:ascii="Cambria Math" w:hAnsi="Cambria Math" w:cs="Times New Roman"/>
                <w:color w:val="FF0000"/>
                <w:kern w:val="0"/>
                <w:szCs w:val="21"/>
                <w:u w:val="single"/>
              </w:rPr>
            </m:ctrlPr>
          </m:e>
          <m:sub>
            <m:r>
              <w:rPr>
                <w:rFonts w:ascii="Cambria Math" w:hAnsi="Cambria Math" w:cs="Times New Roman"/>
                <w:color w:val="FF0000"/>
                <w:kern w:val="0"/>
                <w:szCs w:val="21"/>
                <w:u w:val="single"/>
              </w:rPr>
              <m:t>V</m:t>
            </m:r>
            <m:ctrlPr>
              <w:rPr>
                <w:rFonts w:ascii="Cambria Math" w:hAnsi="Cambria Math" w:cs="Times New Roman"/>
                <w:color w:val="FF0000"/>
                <w:kern w:val="0"/>
                <w:szCs w:val="21"/>
                <w:u w:val="single"/>
              </w:rPr>
            </m:ctrlPr>
          </m:sub>
        </m:sSub>
      </m:oMath>
      <w:r>
        <w:rPr>
          <w:rFonts w:cs="Times New Roman"/>
          <w:color w:val="FF0000"/>
          <w:kern w:val="0"/>
          <w:szCs w:val="21"/>
          <w:u w:val="single"/>
        </w:rPr>
        <w:t>采用SOLAS公约第II-1/7-2.6.1.1中因子</w:t>
      </w:r>
      <m:oMath>
        <m:r>
          <w:rPr>
            <w:rFonts w:ascii="Cambria Math" w:hAnsi="Cambria Math" w:cs="Times New Roman"/>
            <w:color w:val="FF0000"/>
            <w:kern w:val="0"/>
            <w:szCs w:val="21"/>
            <w:u w:val="single"/>
          </w:rPr>
          <m:t>v</m:t>
        </m:r>
      </m:oMath>
      <w:r>
        <w:rPr>
          <w:rFonts w:cs="Times New Roman"/>
          <w:color w:val="FF0000"/>
          <w:kern w:val="0"/>
          <w:szCs w:val="21"/>
          <w:u w:val="single"/>
        </w:rPr>
        <w:t>的公</w:t>
      </w:r>
      <w:r>
        <w:rPr>
          <w:rFonts w:hint="eastAsia" w:cs="Times New Roman"/>
          <w:color w:val="FF0000"/>
          <w:kern w:val="0"/>
          <w:szCs w:val="21"/>
          <w:u w:val="single"/>
        </w:rPr>
        <w:t>式计算，该值反映了损伤垂直扩展至燃料舱底部限界面以上的概率。公式为：</w:t>
      </w:r>
      <w:r>
        <w:rPr>
          <w:rFonts w:hint="eastAsia" w:cs="Times New Roman"/>
          <w:kern w:val="0"/>
          <w:szCs w:val="21"/>
        </w:rPr>
        <w:t>”</w:t>
      </w:r>
    </w:p>
    <w:p>
      <w:pPr>
        <w:spacing w:line="360" w:lineRule="auto"/>
        <w:ind w:firstLine="420" w:firstLineChars="200"/>
        <w:rPr>
          <w:rFonts w:hint="eastAsia"/>
          <w:color w:val="000000"/>
          <w:lang w:val="en-US" w:eastAsia="zh-CN"/>
        </w:rPr>
      </w:pP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textAlignment w:val="auto"/>
        <w:rPr>
          <w:rFonts w:hint="eastAsia"/>
          <w:color w:val="000000"/>
          <w:lang w:val="en-US" w:eastAsia="zh-CN"/>
        </w:rPr>
      </w:pPr>
      <w:r>
        <w:rPr>
          <w:rFonts w:hint="eastAsia"/>
          <w:color w:val="000000"/>
          <w:lang w:val="en-US" w:eastAsia="zh-CN"/>
        </w:rPr>
        <w:t>5.3.4.2 中公式改为：</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textAlignment w:val="auto"/>
        <w:rPr>
          <w:rFonts w:hint="eastAsia"/>
          <w:color w:val="000000"/>
          <w:lang w:val="en-US" w:eastAsia="zh-CN"/>
        </w:rPr>
      </w:pPr>
      <w:r>
        <w:rPr>
          <w:rFonts w:hint="eastAsia"/>
          <w:color w:val="000000"/>
          <w:lang w:val="en-US" w:eastAsia="zh-CN"/>
        </w:rPr>
        <w:t>“.......</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textAlignment w:val="auto"/>
        <w:rPr>
          <w:rFonts w:hint="eastAsia" w:cs="Times New Roman"/>
          <w:color w:val="000000"/>
          <w:szCs w:val="21"/>
        </w:rPr>
      </w:pPr>
      <w:r>
        <w:rPr>
          <w:rFonts w:hint="eastAsia" w:cs="Times New Roman"/>
          <w:color w:val="000000"/>
          <w:szCs w:val="21"/>
        </w:rPr>
        <w:t>对</w:t>
      </w:r>
      <w:r>
        <w:rPr>
          <w:rFonts w:cs="Times New Roman"/>
          <w:color w:val="000000"/>
          <w:szCs w:val="21"/>
        </w:rPr>
        <w:t>于其他情况，</w:t>
      </w:r>
      <w:r>
        <w:rPr>
          <w:rFonts w:hint="eastAsia" w:cs="Times New Roman"/>
          <w:color w:val="000000"/>
          <w:szCs w:val="21"/>
        </w:rPr>
        <w:t>f</w:t>
      </w:r>
      <w:r>
        <w:rPr>
          <w:rFonts w:hint="eastAsia" w:cs="Times New Roman"/>
          <w:color w:val="000000"/>
          <w:szCs w:val="21"/>
          <w:vertAlign w:val="subscript"/>
        </w:rPr>
        <w:t>v</w:t>
      </w:r>
      <w:r>
        <w:rPr>
          <w:rFonts w:hint="eastAsia" w:cs="Times New Roman"/>
          <w:color w:val="000000"/>
          <w:szCs w:val="21"/>
        </w:rPr>
        <w:t>=0.2-</w:t>
      </w:r>
      <w:r>
        <w:rPr>
          <w:rFonts w:hint="eastAsia" w:cs="Times New Roman"/>
          <w:color w:val="FF0000"/>
          <w:szCs w:val="21"/>
          <w:u w:val="single"/>
          <w:lang w:val="en-US" w:eastAsia="zh-CN"/>
        </w:rPr>
        <w:t>(</w:t>
      </w:r>
      <w:r>
        <w:rPr>
          <w:rFonts w:hint="eastAsia" w:cs="Times New Roman"/>
          <w:color w:val="000000"/>
          <w:szCs w:val="21"/>
        </w:rPr>
        <w:t>0.2( (</w:t>
      </w:r>
      <w:r>
        <w:rPr>
          <w:rFonts w:cs="Times New Roman"/>
          <w:color w:val="000000"/>
          <w:szCs w:val="21"/>
        </w:rPr>
        <w:t>H-d</w:t>
      </w:r>
      <w:r>
        <w:rPr>
          <w:rFonts w:hint="eastAsia" w:cs="Times New Roman"/>
          <w:color w:val="000000"/>
          <w:szCs w:val="21"/>
        </w:rPr>
        <w:t>)</w:t>
      </w:r>
      <w:r>
        <w:rPr>
          <w:rFonts w:cs="Times New Roman"/>
          <w:color w:val="000000"/>
          <w:szCs w:val="21"/>
        </w:rPr>
        <w:t>-7.8</w:t>
      </w:r>
      <w:r>
        <w:rPr>
          <w:rFonts w:hint="eastAsia" w:cs="Times New Roman"/>
          <w:color w:val="FF0000"/>
          <w:szCs w:val="21"/>
          <w:u w:val="single"/>
          <w:lang w:val="en-US" w:eastAsia="zh-CN"/>
        </w:rPr>
        <w:t>)</w:t>
      </w:r>
      <w:r>
        <w:rPr>
          <w:rFonts w:cs="Times New Roman"/>
          <w:color w:val="000000"/>
          <w:szCs w:val="21"/>
        </w:rPr>
        <w:t>/4.7</w:t>
      </w:r>
      <w:r>
        <w:rPr>
          <w:rFonts w:hint="eastAsia" w:cs="Times New Roman"/>
          <w:color w:val="000000"/>
          <w:szCs w:val="21"/>
        </w:rPr>
        <w:t xml:space="preserve"> )，</w:t>
      </w:r>
      <w:r>
        <w:rPr>
          <w:rFonts w:cs="Times New Roman"/>
          <w:color w:val="000000"/>
          <w:szCs w:val="21"/>
        </w:rPr>
        <w:t xml:space="preserve"> </w:t>
      </w:r>
      <w:r>
        <w:rPr>
          <w:rFonts w:hint="eastAsia" w:cs="Times New Roman"/>
          <w:color w:val="000000"/>
          <w:szCs w:val="21"/>
        </w:rPr>
        <w:t>f</w:t>
      </w:r>
      <w:r>
        <w:rPr>
          <w:rFonts w:hint="eastAsia" w:cs="Times New Roman"/>
          <w:color w:val="000000"/>
          <w:szCs w:val="21"/>
          <w:vertAlign w:val="subscript"/>
        </w:rPr>
        <w:t>v</w:t>
      </w:r>
      <w:r>
        <w:rPr>
          <w:rFonts w:hint="eastAsia" w:cs="Times New Roman"/>
          <w:color w:val="000000"/>
          <w:szCs w:val="21"/>
        </w:rPr>
        <w:t>取值</w:t>
      </w:r>
      <w:r>
        <w:rPr>
          <w:rFonts w:cs="Times New Roman"/>
          <w:color w:val="000000"/>
          <w:szCs w:val="21"/>
        </w:rPr>
        <w:t>不</w:t>
      </w:r>
      <w:r>
        <w:rPr>
          <w:rFonts w:hint="eastAsia" w:cs="Times New Roman"/>
          <w:color w:val="000000"/>
          <w:szCs w:val="21"/>
        </w:rPr>
        <w:t>应小</w:t>
      </w:r>
      <w:r>
        <w:rPr>
          <w:rFonts w:cs="Times New Roman"/>
          <w:color w:val="000000"/>
          <w:szCs w:val="21"/>
        </w:rPr>
        <w:t>于0</w:t>
      </w:r>
      <w:r>
        <w:rPr>
          <w:rFonts w:hint="eastAsia" w:cs="Times New Roman"/>
          <w:color w:val="000000"/>
          <w:szCs w:val="21"/>
        </w:rPr>
        <w:t>。</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textAlignment w:val="auto"/>
        <w:rPr>
          <w:rFonts w:hint="eastAsia"/>
          <w:color w:val="000000"/>
          <w:lang w:val="en-US" w:eastAsia="zh-CN"/>
        </w:rPr>
      </w:pPr>
      <w:r>
        <w:rPr>
          <w:rFonts w:hint="eastAsia" w:cs="Times New Roman"/>
          <w:color w:val="000000"/>
          <w:szCs w:val="21"/>
          <w:lang w:val="en-US" w:eastAsia="zh-CN"/>
        </w:rPr>
        <w:t>......</w:t>
      </w:r>
      <w:r>
        <w:rPr>
          <w:rFonts w:hint="eastAsia"/>
          <w:color w:val="000000"/>
          <w:lang w:val="en-US" w:eastAsia="zh-CN"/>
        </w:rPr>
        <w:t>”</w:t>
      </w:r>
    </w:p>
    <w:p>
      <w:pPr>
        <w:keepNext w:val="0"/>
        <w:keepLines w:val="0"/>
        <w:widowControl/>
        <w:suppressLineNumbers w:val="0"/>
        <w:ind w:firstLine="420" w:firstLineChars="200"/>
        <w:jc w:val="left"/>
        <w:rPr>
          <w:rFonts w:hint="default"/>
          <w:color w:val="000000"/>
          <w:lang w:val="en-US" w:eastAsia="zh-CN"/>
        </w:rPr>
      </w:pPr>
    </w:p>
    <w:p>
      <w:pPr>
        <w:spacing w:line="360" w:lineRule="auto"/>
        <w:ind w:firstLine="564" w:firstLineChars="0"/>
        <w:rPr>
          <w:rFonts w:hint="eastAsia" w:eastAsia="宋体"/>
          <w:color w:val="000000"/>
          <w:lang w:val="en-US" w:eastAsia="zh-CN"/>
        </w:rPr>
      </w:pPr>
      <w:r>
        <w:rPr>
          <w:rFonts w:hint="eastAsia"/>
          <w:color w:val="000000"/>
          <w:lang w:val="en-US" w:eastAsia="zh-CN"/>
        </w:rPr>
        <w:t xml:space="preserve"> </w:t>
      </w:r>
    </w:p>
    <w:p>
      <w:pPr>
        <w:pStyle w:val="71"/>
        <w:jc w:val="center"/>
        <w:rPr>
          <w:rFonts w:hint="eastAsia" w:ascii="Times New Roman" w:hAnsi="Times New Roman"/>
        </w:rPr>
      </w:pPr>
      <w:bookmarkStart w:id="22" w:name="_Toc6915"/>
      <w:r>
        <w:rPr>
          <w:rFonts w:hint="eastAsia" w:ascii="Times New Roman" w:hAnsi="Times New Roman"/>
        </w:rPr>
        <w:t>6</w:t>
      </w:r>
      <w:r>
        <w:rPr>
          <w:rFonts w:hint="eastAsia" w:ascii="Times New Roman" w:hAnsi="Times New Roman"/>
          <w:lang w:val="en-US" w:eastAsia="zh-CN"/>
        </w:rPr>
        <w:t xml:space="preserve"> </w:t>
      </w:r>
      <w:r>
        <w:rPr>
          <w:rFonts w:hint="eastAsia" w:ascii="Times New Roman" w:hAnsi="Times New Roman"/>
        </w:rPr>
        <w:t xml:space="preserve"> 燃料围护系统</w:t>
      </w:r>
      <w:bookmarkEnd w:id="22"/>
    </w:p>
    <w:p>
      <w:pPr>
        <w:pStyle w:val="14"/>
        <w:ind w:firstLine="420" w:firstLineChars="200"/>
        <w:jc w:val="both"/>
        <w:outlineLvl w:val="3"/>
        <w:rPr>
          <w:rFonts w:hint="eastAsia" w:ascii="Times New Roman" w:hAnsi="Times New Roman" w:eastAsia="黑体" w:cs="Times New Roman"/>
          <w:bCs/>
          <w:lang w:val="en-US" w:eastAsia="zh-CN"/>
        </w:rPr>
      </w:pPr>
      <w:r>
        <w:rPr>
          <w:rFonts w:hint="default" w:ascii="Times New Roman" w:hAnsi="Times New Roman" w:eastAsia="黑体" w:cs="Times New Roman"/>
          <w:bCs/>
          <w:lang w:val="en-US" w:eastAsia="zh-CN"/>
        </w:rPr>
        <w:t xml:space="preserve">6.7 </w:t>
      </w:r>
      <w:r>
        <w:rPr>
          <w:rFonts w:hint="eastAsia" w:ascii="Times New Roman" w:hAnsi="Times New Roman" w:eastAsia="黑体" w:cs="Times New Roman"/>
          <w:bCs/>
          <w:lang w:val="en-US" w:eastAsia="zh-CN"/>
        </w:rPr>
        <w:t>压力释放系统</w:t>
      </w:r>
    </w:p>
    <w:p>
      <w:pPr>
        <w:pStyle w:val="14"/>
        <w:jc w:val="both"/>
        <w:outlineLvl w:val="3"/>
        <w:rPr>
          <w:rFonts w:hint="eastAsia" w:ascii="Times New Roman" w:hAnsi="Times New Roman" w:eastAsia="黑体" w:cs="Times New Roman"/>
          <w:bCs/>
          <w:lang w:val="en-US" w:eastAsia="zh-CN"/>
        </w:rPr>
      </w:pPr>
    </w:p>
    <w:p>
      <w:pPr>
        <w:pStyle w:val="14"/>
        <w:keepNext w:val="0"/>
        <w:keepLines w:val="0"/>
        <w:pageBreakBefore w:val="0"/>
        <w:widowControl w:val="0"/>
        <w:kinsoku/>
        <w:wordWrap/>
        <w:overflowPunct/>
        <w:topLinePunct w:val="0"/>
        <w:autoSpaceDE/>
        <w:autoSpaceDN/>
        <w:bidi w:val="0"/>
        <w:adjustRightInd w:val="0"/>
        <w:snapToGrid w:val="0"/>
        <w:ind w:firstLine="420" w:firstLineChars="200"/>
        <w:jc w:val="both"/>
        <w:textAlignment w:val="auto"/>
        <w:outlineLvl w:val="3"/>
        <w:rPr>
          <w:color w:val="000000"/>
        </w:rPr>
      </w:pPr>
      <w:r>
        <w:rPr>
          <w:rFonts w:hint="eastAsia" w:ascii="Times New Roman" w:hAnsi="Times New Roman" w:eastAsia="黑体" w:cs="Times New Roman"/>
          <w:bCs/>
          <w:lang w:val="en-US" w:eastAsia="zh-CN"/>
        </w:rPr>
        <w:t>6.7.1</w:t>
      </w:r>
      <w:r>
        <w:rPr>
          <w:rFonts w:hint="eastAsia"/>
          <w:color w:val="000000"/>
        </w:rPr>
        <w:t>通则</w:t>
      </w:r>
    </w:p>
    <w:p>
      <w:pPr>
        <w:pStyle w:val="5"/>
        <w:keepNext w:val="0"/>
        <w:keepLines w:val="0"/>
        <w:pageBreakBefore w:val="0"/>
        <w:widowControl w:val="0"/>
        <w:numPr>
          <w:ilvl w:val="3"/>
          <w:numId w:val="0"/>
        </w:numPr>
        <w:kinsoku/>
        <w:wordWrap/>
        <w:overflowPunct/>
        <w:topLinePunct w:val="0"/>
        <w:autoSpaceDE/>
        <w:autoSpaceDN/>
        <w:bidi w:val="0"/>
        <w:adjustRightInd w:val="0"/>
        <w:snapToGrid w:val="0"/>
        <w:spacing w:beforeLines="0"/>
        <w:ind w:firstLine="420" w:firstLineChars="200"/>
        <w:textAlignment w:val="auto"/>
        <w:rPr>
          <w:rFonts w:hint="eastAsia" w:ascii="Times New Roman" w:hAnsi="Times New Roman" w:eastAsia="黑体" w:cs="Times New Roman"/>
          <w:bCs/>
          <w:lang w:val="en-US" w:eastAsia="zh-CN"/>
        </w:rPr>
      </w:pPr>
      <w:r>
        <w:rPr>
          <w:rFonts w:hint="eastAsia"/>
          <w:color w:val="000000"/>
          <w:lang w:val="en-US" w:eastAsia="zh-CN"/>
        </w:rPr>
        <w:t>6.7.1.1</w:t>
      </w:r>
      <w:r>
        <w:rPr>
          <w:rFonts w:hint="eastAsia"/>
          <w:color w:val="000000"/>
        </w:rPr>
        <w:t>所有燃料舱</w:t>
      </w:r>
      <w:r>
        <w:rPr>
          <w:rFonts w:ascii="Times New Roman" w:hAnsi="Times New Roman"/>
          <w:color w:val="000000"/>
        </w:rPr>
        <w:t>均应具有与燃料围护系统的设计以及所装载的燃料相适应的压力释放系统。对于所承受的压力可能超过其设计能力的燃料舱处所、屏壁间处所、燃料舱接头处所和隔离舱，也应具有合适的压力释放系统。6.9节所规定的压力控制系统应独立于压力释放系统。</w:t>
      </w:r>
    </w:p>
    <w:p>
      <w:pPr>
        <w:keepNext w:val="0"/>
        <w:keepLines w:val="0"/>
        <w:widowControl/>
        <w:suppressLineNumbers w:val="0"/>
        <w:ind w:firstLine="420" w:firstLineChars="200"/>
        <w:jc w:val="left"/>
        <w:rPr>
          <w:rFonts w:hint="eastAsia" w:ascii="楷体" w:hAnsi="楷体" w:eastAsia="楷体" w:cs="楷体"/>
        </w:rPr>
      </w:pPr>
      <w:r>
        <w:rPr>
          <w:rFonts w:hint="eastAsia" w:ascii="楷体" w:hAnsi="楷体" w:eastAsia="楷体" w:cs="楷体"/>
          <w:color w:val="auto"/>
          <w:kern w:val="0"/>
          <w:szCs w:val="21"/>
        </w:rPr>
        <w:t>自</w:t>
      </w:r>
      <w:r>
        <w:rPr>
          <w:rFonts w:hint="eastAsia" w:ascii="楷体" w:hAnsi="楷体" w:eastAsia="楷体" w:cs="楷体"/>
          <w:color w:val="auto"/>
          <w:kern w:val="0"/>
          <w:szCs w:val="21"/>
          <w:lang w:val="en-US"/>
        </w:rPr>
        <w:t>2024</w:t>
      </w:r>
      <w:r>
        <w:rPr>
          <w:rFonts w:hint="eastAsia" w:ascii="楷体" w:hAnsi="楷体" w:eastAsia="楷体" w:cs="楷体"/>
          <w:color w:val="auto"/>
          <w:kern w:val="0"/>
          <w:szCs w:val="21"/>
        </w:rPr>
        <w:t>年</w:t>
      </w:r>
      <w:r>
        <w:rPr>
          <w:rFonts w:hint="eastAsia" w:ascii="楷体" w:hAnsi="楷体" w:eastAsia="楷体" w:cs="楷体"/>
          <w:color w:val="auto"/>
          <w:kern w:val="0"/>
          <w:szCs w:val="21"/>
          <w:lang w:val="en-US"/>
        </w:rPr>
        <w:t>1</w:t>
      </w:r>
      <w:r>
        <w:rPr>
          <w:rFonts w:hint="eastAsia" w:ascii="楷体" w:hAnsi="楷体" w:eastAsia="楷体" w:cs="楷体"/>
          <w:color w:val="auto"/>
          <w:kern w:val="0"/>
          <w:szCs w:val="21"/>
        </w:rPr>
        <w:t>月</w:t>
      </w:r>
      <w:r>
        <w:rPr>
          <w:rFonts w:hint="eastAsia" w:ascii="楷体" w:hAnsi="楷体" w:eastAsia="楷体" w:cs="楷体"/>
          <w:color w:val="auto"/>
          <w:kern w:val="0"/>
          <w:szCs w:val="21"/>
          <w:lang w:val="en-US"/>
        </w:rPr>
        <w:t>1</w:t>
      </w:r>
      <w:r>
        <w:rPr>
          <w:rFonts w:hint="eastAsia" w:ascii="楷体" w:hAnsi="楷体" w:eastAsia="楷体" w:cs="楷体"/>
          <w:color w:val="auto"/>
          <w:kern w:val="0"/>
          <w:szCs w:val="21"/>
        </w:rPr>
        <w:t>日</w:t>
      </w:r>
      <w:r>
        <w:rPr>
          <w:rFonts w:hint="eastAsia" w:ascii="楷体" w:hAnsi="楷体" w:eastAsia="楷体" w:cs="楷体"/>
          <w:color w:val="auto"/>
          <w:kern w:val="0"/>
          <w:szCs w:val="21"/>
          <w:lang w:val="en-US"/>
        </w:rPr>
        <w:t>起，</w:t>
      </w:r>
      <w:r>
        <w:rPr>
          <w:rFonts w:hint="eastAsia" w:ascii="楷体" w:hAnsi="楷体" w:eastAsia="楷体" w:cs="楷体"/>
          <w:color w:val="auto"/>
          <w:kern w:val="0"/>
          <w:szCs w:val="21"/>
          <w:lang w:val="en-US" w:eastAsia="zh-CN"/>
        </w:rPr>
        <w:t xml:space="preserve">原6.7.1.1 改为： </w:t>
      </w:r>
    </w:p>
    <w:p>
      <w:pPr>
        <w:keepNext w:val="0"/>
        <w:keepLines w:val="0"/>
        <w:widowControl/>
        <w:suppressLineNumbers w:val="0"/>
        <w:ind w:firstLine="210" w:firstLineChars="100"/>
        <w:jc w:val="left"/>
      </w:pPr>
      <w:r>
        <w:rPr>
          <w:rFonts w:hint="eastAsia" w:ascii="宋体" w:hAnsi="宋体" w:eastAsia="宋体" w:cs="宋体"/>
          <w:color w:val="000000"/>
          <w:kern w:val="0"/>
          <w:sz w:val="21"/>
          <w:szCs w:val="21"/>
          <w:lang w:val="en-US" w:eastAsia="zh-CN" w:bidi="ar"/>
        </w:rPr>
        <w:t>“</w:t>
      </w:r>
      <w:r>
        <w:rPr>
          <w:rFonts w:hint="default" w:ascii="Times New Roman" w:hAnsi="Times New Roman" w:eastAsia="宋体" w:cs="Times New Roman"/>
          <w:color w:val="FF0000"/>
          <w:kern w:val="0"/>
          <w:sz w:val="21"/>
          <w:szCs w:val="21"/>
          <w:u w:val="single"/>
          <w:lang w:val="en-US" w:eastAsia="zh-CN" w:bidi="ar"/>
        </w:rPr>
        <w:t xml:space="preserve">6.7.1.1 </w:t>
      </w:r>
      <w:r>
        <w:rPr>
          <w:rFonts w:hint="eastAsia" w:ascii="宋体" w:hAnsi="宋体" w:eastAsia="宋体" w:cs="宋体"/>
          <w:color w:val="FF0000"/>
          <w:kern w:val="0"/>
          <w:sz w:val="21"/>
          <w:szCs w:val="21"/>
          <w:u w:val="single"/>
          <w:lang w:val="en-US" w:eastAsia="zh-CN" w:bidi="ar"/>
        </w:rPr>
        <w:t>所有燃料舱均应具有与燃料围护系统的设计以及所装载的燃料相适应的压力释放系统。对于所承受的压力可能超过其设计能力的燃料舱处所、屏壁间处所和燃料舱接头处所，也应具有合适的压力释放系统。</w:t>
      </w:r>
      <w:r>
        <w:rPr>
          <w:rFonts w:hint="default" w:ascii="Times New Roman" w:hAnsi="Times New Roman" w:eastAsia="宋体" w:cs="Times New Roman"/>
          <w:color w:val="FF0000"/>
          <w:kern w:val="0"/>
          <w:sz w:val="21"/>
          <w:szCs w:val="21"/>
          <w:u w:val="single"/>
          <w:lang w:val="en-US" w:eastAsia="zh-CN" w:bidi="ar"/>
        </w:rPr>
        <w:t xml:space="preserve">6.9 </w:t>
      </w:r>
      <w:r>
        <w:rPr>
          <w:rFonts w:hint="eastAsia" w:ascii="宋体" w:hAnsi="宋体" w:eastAsia="宋体" w:cs="宋体"/>
          <w:color w:val="FF0000"/>
          <w:kern w:val="0"/>
          <w:sz w:val="21"/>
          <w:szCs w:val="21"/>
          <w:u w:val="single"/>
          <w:lang w:val="en-US" w:eastAsia="zh-CN" w:bidi="ar"/>
        </w:rPr>
        <w:t>节所规定的压力控制系统应独立于压力释放系统。</w:t>
      </w:r>
      <w:r>
        <w:rPr>
          <w:rFonts w:hint="eastAsia" w:ascii="宋体" w:hAnsi="宋体" w:eastAsia="宋体" w:cs="宋体"/>
          <w:color w:val="000000"/>
          <w:kern w:val="0"/>
          <w:sz w:val="21"/>
          <w:szCs w:val="21"/>
          <w:lang w:val="en-US" w:eastAsia="zh-CN" w:bidi="ar"/>
        </w:rPr>
        <w:t xml:space="preserve">” </w:t>
      </w:r>
    </w:p>
    <w:p>
      <w:pPr>
        <w:spacing w:after="156" w:afterLines="50"/>
        <w:jc w:val="center"/>
        <w:rPr>
          <w:rFonts w:hint="eastAsia" w:cs="Times New Roman"/>
          <w:b/>
        </w:rPr>
      </w:pPr>
    </w:p>
    <w:p>
      <w:pPr>
        <w:pStyle w:val="14"/>
        <w:ind w:firstLine="420" w:firstLineChars="200"/>
        <w:jc w:val="both"/>
        <w:outlineLvl w:val="3"/>
        <w:rPr>
          <w:rFonts w:hint="default" w:ascii="Times New Roman" w:hAnsi="Times New Roman" w:eastAsia="黑体" w:cs="Times New Roman"/>
          <w:bCs/>
          <w:lang w:val="en-US" w:eastAsia="zh-CN"/>
        </w:rPr>
      </w:pPr>
      <w:r>
        <w:rPr>
          <w:rFonts w:hint="eastAsia" w:ascii="Times New Roman" w:hAnsi="Times New Roman" w:eastAsia="黑体" w:cs="Times New Roman"/>
          <w:bCs/>
          <w:lang w:val="en-US" w:eastAsia="zh-CN"/>
        </w:rPr>
        <w:t>6.8 液化气燃料舱装载极限要求</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textAlignment w:val="auto"/>
        <w:rPr>
          <w:rFonts w:hint="eastAsia"/>
          <w:color w:val="000000"/>
        </w:rPr>
      </w:pP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textAlignment w:val="auto"/>
        <w:rPr>
          <w:rFonts w:hint="eastAsia" w:ascii="楷体" w:hAnsi="楷体" w:eastAsia="楷体" w:cs="楷体"/>
          <w:color w:val="000000"/>
        </w:rPr>
      </w:pPr>
      <w:r>
        <w:rPr>
          <w:rFonts w:hint="eastAsia" w:ascii="楷体" w:hAnsi="楷体" w:eastAsia="楷体" w:cs="楷体"/>
          <w:color w:val="000000"/>
          <w:lang w:eastAsia="zh-CN"/>
        </w:rPr>
        <w:t>新增</w:t>
      </w:r>
      <w:r>
        <w:rPr>
          <w:rFonts w:hint="eastAsia" w:ascii="楷体" w:hAnsi="楷体" w:eastAsia="楷体" w:cs="楷体"/>
          <w:color w:val="000000"/>
        </w:rPr>
        <w:t>6.8.2</w:t>
      </w:r>
      <w:r>
        <w:rPr>
          <w:rFonts w:hint="eastAsia" w:ascii="楷体" w:hAnsi="楷体" w:eastAsia="楷体" w:cs="楷体"/>
          <w:color w:val="000000"/>
          <w:lang w:eastAsia="zh-CN"/>
        </w:rPr>
        <w:t>如下</w:t>
      </w:r>
      <w:r>
        <w:rPr>
          <w:rFonts w:hint="eastAsia" w:ascii="楷体" w:hAnsi="楷体" w:eastAsia="楷体" w:cs="楷体"/>
          <w:color w:val="000000"/>
        </w:rPr>
        <w:t>：</w:t>
      </w:r>
    </w:p>
    <w:p>
      <w:pPr>
        <w:keepNext w:val="0"/>
        <w:keepLines w:val="0"/>
        <w:pageBreakBefore w:val="0"/>
        <w:widowControl w:val="0"/>
        <w:kinsoku/>
        <w:wordWrap/>
        <w:overflowPunct/>
        <w:topLinePunct w:val="0"/>
        <w:autoSpaceDE/>
        <w:autoSpaceDN/>
        <w:bidi w:val="0"/>
        <w:adjustRightInd w:val="0"/>
        <w:snapToGrid w:val="0"/>
        <w:spacing w:line="240" w:lineRule="auto"/>
        <w:ind w:firstLine="210" w:firstLineChars="100"/>
        <w:textAlignment w:val="auto"/>
        <w:rPr>
          <w:color w:val="000000"/>
        </w:rPr>
      </w:pPr>
      <w:r>
        <w:rPr>
          <w:rFonts w:hint="eastAsia"/>
          <w:color w:val="000000"/>
        </w:rPr>
        <w:t>“</w:t>
      </w:r>
      <w:r>
        <w:rPr>
          <w:rFonts w:hint="eastAsia"/>
          <w:color w:val="FF0000"/>
          <w:u w:val="single"/>
        </w:rPr>
        <w:t>6.8.3  对于2024年1月1日或以后建造的船舶，当燃料舱绝热和布置使得舱内介质被外部火灾加热的可能性极小时，相比使用参考温度的计算结果，经特别考虑后可允许更高的充装极限，但任何情况下不超过95%。</w:t>
      </w:r>
      <w:r>
        <w:rPr>
          <w:rFonts w:hint="eastAsia"/>
          <w:color w:val="000000"/>
        </w:rPr>
        <w:t>”</w:t>
      </w:r>
    </w:p>
    <w:p>
      <w:pPr>
        <w:keepNext w:val="0"/>
        <w:keepLines w:val="0"/>
        <w:pageBreakBefore w:val="0"/>
        <w:widowControl w:val="0"/>
        <w:kinsoku/>
        <w:wordWrap/>
        <w:overflowPunct/>
        <w:topLinePunct w:val="0"/>
        <w:autoSpaceDE/>
        <w:autoSpaceDN/>
        <w:bidi w:val="0"/>
        <w:adjustRightInd w:val="0"/>
        <w:snapToGrid w:val="0"/>
        <w:ind w:firstLine="420" w:firstLineChars="200"/>
        <w:textAlignment w:val="auto"/>
        <w:rPr>
          <w:rFonts w:hint="default" w:ascii="Times New Roman" w:hAnsi="Times New Roman" w:eastAsia="楷体" w:cs="Times New Roman"/>
          <w:snapToGrid w:val="0"/>
          <w:color w:val="0000FF"/>
          <w:kern w:val="0"/>
          <w:szCs w:val="21"/>
        </w:rPr>
      </w:pPr>
    </w:p>
    <w:p>
      <w:pPr>
        <w:pStyle w:val="71"/>
        <w:jc w:val="center"/>
        <w:rPr>
          <w:rFonts w:hint="eastAsia" w:ascii="Times New Roman" w:hAnsi="Times New Roman"/>
        </w:rPr>
      </w:pPr>
      <w:bookmarkStart w:id="23" w:name="_Toc28667"/>
      <w:r>
        <w:rPr>
          <w:rFonts w:hint="eastAsia" w:ascii="Times New Roman" w:hAnsi="Times New Roman"/>
        </w:rPr>
        <w:t xml:space="preserve">9 </w:t>
      </w:r>
      <w:r>
        <w:rPr>
          <w:rFonts w:hint="eastAsia" w:ascii="Times New Roman" w:hAnsi="Times New Roman"/>
          <w:lang w:val="en-US" w:eastAsia="zh-CN"/>
        </w:rPr>
        <w:t xml:space="preserve"> </w:t>
      </w:r>
      <w:r>
        <w:rPr>
          <w:rFonts w:hint="eastAsia" w:ascii="Times New Roman" w:hAnsi="Times New Roman"/>
        </w:rPr>
        <w:t>燃料供应</w:t>
      </w:r>
      <w:bookmarkEnd w:id="23"/>
    </w:p>
    <w:p>
      <w:pPr>
        <w:pStyle w:val="14"/>
        <w:ind w:firstLine="420" w:firstLineChars="200"/>
        <w:jc w:val="both"/>
        <w:outlineLvl w:val="3"/>
        <w:rPr>
          <w:rFonts w:hint="eastAsia" w:ascii="Times New Roman" w:hAnsi="Times New Roman" w:eastAsia="黑体" w:cs="Times New Roman"/>
          <w:bCs/>
          <w:lang w:val="en-US" w:eastAsia="zh-CN"/>
        </w:rPr>
      </w:pPr>
      <w:r>
        <w:rPr>
          <w:rFonts w:hint="eastAsia" w:ascii="Times New Roman" w:hAnsi="Times New Roman" w:eastAsia="黑体" w:cs="Times New Roman"/>
          <w:bCs/>
          <w:lang w:val="en-US" w:eastAsia="zh-CN"/>
        </w:rPr>
        <w:t>9.5 机器处所外的燃料分配要求</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auto"/>
        <w:rPr>
          <w:rFonts w:hint="eastAsia"/>
          <w:color w:val="000000"/>
        </w:rPr>
      </w:pP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auto"/>
        <w:rPr>
          <w:rFonts w:hint="eastAsia" w:ascii="楷体" w:hAnsi="楷体" w:eastAsia="楷体" w:cs="楷体"/>
          <w:color w:val="auto"/>
        </w:rPr>
      </w:pPr>
      <w:r>
        <w:rPr>
          <w:rFonts w:hint="eastAsia" w:ascii="楷体" w:hAnsi="楷体" w:eastAsia="楷体" w:cs="楷体"/>
          <w:color w:val="auto"/>
          <w:lang w:eastAsia="zh-CN"/>
        </w:rPr>
        <w:t>新增</w:t>
      </w:r>
      <w:r>
        <w:rPr>
          <w:rFonts w:hint="eastAsia" w:ascii="楷体" w:hAnsi="楷体" w:eastAsia="楷体" w:cs="楷体"/>
          <w:color w:val="auto"/>
        </w:rPr>
        <w:t>9.5.</w:t>
      </w:r>
      <w:r>
        <w:rPr>
          <w:rFonts w:hint="eastAsia" w:ascii="楷体" w:hAnsi="楷体" w:eastAsia="楷体" w:cs="楷体"/>
          <w:color w:val="auto"/>
          <w:lang w:val="en-US" w:eastAsia="zh-CN"/>
        </w:rPr>
        <w:t>3～</w:t>
      </w:r>
      <w:r>
        <w:rPr>
          <w:rFonts w:hint="eastAsia" w:ascii="楷体" w:hAnsi="楷体" w:eastAsia="楷体" w:cs="楷体"/>
          <w:color w:val="auto"/>
          <w:u w:val="none"/>
        </w:rPr>
        <w:t>9.5.6</w:t>
      </w:r>
      <w:r>
        <w:rPr>
          <w:rFonts w:hint="eastAsia" w:ascii="楷体" w:hAnsi="楷体" w:eastAsia="楷体" w:cs="楷体"/>
          <w:color w:val="auto"/>
          <w:u w:val="none"/>
          <w:lang w:eastAsia="zh-CN"/>
        </w:rPr>
        <w:t>如下</w:t>
      </w:r>
      <w:r>
        <w:rPr>
          <w:rFonts w:hint="eastAsia" w:ascii="楷体" w:hAnsi="楷体" w:eastAsia="楷体" w:cs="楷体"/>
          <w:color w:val="auto"/>
        </w:rPr>
        <w:t>：</w:t>
      </w:r>
    </w:p>
    <w:p>
      <w:pPr>
        <w:keepNext w:val="0"/>
        <w:keepLines w:val="0"/>
        <w:pageBreakBefore w:val="0"/>
        <w:widowControl w:val="0"/>
        <w:kinsoku/>
        <w:wordWrap/>
        <w:overflowPunct/>
        <w:topLinePunct w:val="0"/>
        <w:autoSpaceDE/>
        <w:autoSpaceDN/>
        <w:bidi w:val="0"/>
        <w:adjustRightInd w:val="0"/>
        <w:snapToGrid w:val="0"/>
        <w:spacing w:line="240" w:lineRule="auto"/>
        <w:ind w:firstLine="210" w:firstLineChars="100"/>
        <w:jc w:val="left"/>
        <w:textAlignment w:val="auto"/>
        <w:rPr>
          <w:color w:val="FF0000"/>
          <w:u w:val="single"/>
        </w:rPr>
      </w:pPr>
      <w:r>
        <w:rPr>
          <w:rFonts w:hint="eastAsia"/>
          <w:color w:val="000000"/>
        </w:rPr>
        <w:t>“</w:t>
      </w:r>
      <w:r>
        <w:rPr>
          <w:rFonts w:hint="eastAsia"/>
          <w:color w:val="FF0000"/>
          <w:u w:val="single"/>
        </w:rPr>
        <w:t xml:space="preserve">9.5.3 </w:t>
      </w:r>
      <w:r>
        <w:rPr>
          <w:color w:val="FF0000"/>
          <w:u w:val="single"/>
        </w:rPr>
        <w:t xml:space="preserve"> </w:t>
      </w:r>
      <w:r>
        <w:rPr>
          <w:rFonts w:hint="eastAsia"/>
          <w:color w:val="FF0000"/>
          <w:u w:val="single"/>
        </w:rPr>
        <w:t>9.5.4至9.5.6的要求应适用于2024年1月1日或以后建造的船舶，以代替9.5.1和9.5.2的要求。</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auto"/>
        <w:rPr>
          <w:color w:val="FF0000"/>
          <w:u w:val="single"/>
        </w:rPr>
      </w:pPr>
      <w:r>
        <w:rPr>
          <w:rFonts w:hint="eastAsia"/>
          <w:color w:val="FF0000"/>
          <w:u w:val="single"/>
        </w:rPr>
        <w:t>9.5.4 含有气态燃料的管路穿过船上围蔽处所时，应由二层环围予以保护。该二层环围可以是通风导管或双壁管系统。通风导管或双壁管系统应进行负压机械抽风，每小时换气30次，并设有满足15.8条要求的气体探测装置。主管机关也可接受具有等效安全水平的其它措施。</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auto"/>
        <w:rPr>
          <w:color w:val="FF0000"/>
          <w:u w:val="single"/>
        </w:rPr>
      </w:pPr>
      <w:r>
        <w:rPr>
          <w:rFonts w:hint="eastAsia"/>
          <w:color w:val="FF0000"/>
          <w:u w:val="single"/>
        </w:rPr>
        <w:t xml:space="preserve">9.5.5 </w:t>
      </w:r>
      <w:r>
        <w:rPr>
          <w:color w:val="FF0000"/>
          <w:u w:val="single"/>
        </w:rPr>
        <w:t xml:space="preserve"> </w:t>
      </w:r>
      <w:r>
        <w:rPr>
          <w:rFonts w:hint="eastAsia"/>
          <w:color w:val="FF0000"/>
          <w:u w:val="single"/>
        </w:rPr>
        <w:t>9.5.4的要求不适用于穿过机械通风处所的全焊透的气体燃料透气管。</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auto"/>
        <w:rPr>
          <w:color w:val="000000"/>
        </w:rPr>
      </w:pPr>
      <w:r>
        <w:rPr>
          <w:rFonts w:hint="eastAsia"/>
          <w:color w:val="FF0000"/>
          <w:u w:val="single"/>
        </w:rPr>
        <w:t>9.5.6 含有液态燃料的管路应由可容纳液体泄漏的二层环围予以保护。若该管系位于燃料准备间或燃料舱接头处所内，主管机关可免除上述要求。若15.8.1.2中要求的气体探测设备不适用，应通过压力或温度监测系统或其任何组合监测系统，对液态燃料管路周围的二层环围进行泄漏监测。二层环围应能承受从燃料管路中泄漏的液体在环围里可能产生的最大压力。因此，二层环围可能需要设置压力释放系统，以防止其内压力超过设计压力。</w:t>
      </w:r>
      <w:r>
        <w:rPr>
          <w:rFonts w:hint="eastAsia"/>
          <w:color w:val="000000"/>
        </w:rPr>
        <w:t>”</w:t>
      </w:r>
    </w:p>
    <w:p>
      <w:pPr>
        <w:spacing w:line="360" w:lineRule="auto"/>
        <w:jc w:val="left"/>
        <w:rPr>
          <w:color w:val="000000"/>
        </w:rPr>
      </w:pPr>
    </w:p>
    <w:p>
      <w:pPr>
        <w:pStyle w:val="71"/>
        <w:jc w:val="center"/>
        <w:rPr>
          <w:rFonts w:hint="eastAsia" w:ascii="Times New Roman" w:hAnsi="Times New Roman"/>
        </w:rPr>
      </w:pPr>
      <w:bookmarkStart w:id="24" w:name="_Toc5067"/>
      <w:r>
        <w:rPr>
          <w:rFonts w:hint="eastAsia" w:ascii="Times New Roman" w:hAnsi="Times New Roman"/>
        </w:rPr>
        <w:t xml:space="preserve">10 </w:t>
      </w:r>
      <w:r>
        <w:rPr>
          <w:rFonts w:hint="eastAsia" w:ascii="Times New Roman" w:hAnsi="Times New Roman"/>
          <w:lang w:val="en-US" w:eastAsia="zh-CN"/>
        </w:rPr>
        <w:t xml:space="preserve"> </w:t>
      </w:r>
      <w:r>
        <w:rPr>
          <w:rFonts w:hint="eastAsia" w:ascii="Times New Roman" w:hAnsi="Times New Roman"/>
        </w:rPr>
        <w:t>动力装置（含推进及其它用气设备）</w:t>
      </w:r>
      <w:bookmarkEnd w:id="24"/>
    </w:p>
    <w:p>
      <w:pPr>
        <w:pStyle w:val="14"/>
        <w:ind w:firstLine="420" w:firstLineChars="200"/>
        <w:jc w:val="both"/>
        <w:outlineLvl w:val="3"/>
        <w:rPr>
          <w:rFonts w:hint="eastAsia" w:ascii="Times New Roman" w:hAnsi="Times New Roman" w:eastAsia="黑体" w:cs="Times New Roman"/>
          <w:bCs/>
          <w:lang w:val="en-US" w:eastAsia="zh-CN"/>
        </w:rPr>
      </w:pPr>
      <w:r>
        <w:rPr>
          <w:rFonts w:hint="eastAsia" w:ascii="Times New Roman" w:hAnsi="Times New Roman" w:eastAsia="黑体" w:cs="Times New Roman"/>
          <w:bCs/>
          <w:lang w:val="en-US" w:eastAsia="zh-CN"/>
        </w:rPr>
        <w:t>10.3 活塞式内燃机的要求</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auto"/>
        <w:rPr>
          <w:rFonts w:hint="eastAsia"/>
          <w:color w:val="000000"/>
        </w:rPr>
      </w:pP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auto"/>
        <w:rPr>
          <w:rFonts w:hint="eastAsia" w:ascii="楷体" w:hAnsi="楷体" w:eastAsia="楷体" w:cs="楷体"/>
          <w:color w:val="000000"/>
        </w:rPr>
      </w:pPr>
      <w:r>
        <w:rPr>
          <w:rFonts w:hint="eastAsia" w:ascii="楷体" w:hAnsi="楷体" w:eastAsia="楷体" w:cs="楷体"/>
          <w:color w:val="000000"/>
          <w:lang w:eastAsia="zh-CN"/>
        </w:rPr>
        <w:t>原</w:t>
      </w:r>
      <w:r>
        <w:rPr>
          <w:rFonts w:hint="eastAsia" w:ascii="楷体" w:hAnsi="楷体" w:eastAsia="楷体" w:cs="楷体"/>
          <w:color w:val="000000"/>
        </w:rPr>
        <w:t>10.3.1.1 后新增10.3.1.1.1如下所示：</w:t>
      </w:r>
    </w:p>
    <w:p>
      <w:pPr>
        <w:keepNext w:val="0"/>
        <w:keepLines w:val="0"/>
        <w:pageBreakBefore w:val="0"/>
        <w:widowControl w:val="0"/>
        <w:kinsoku/>
        <w:wordWrap/>
        <w:overflowPunct/>
        <w:topLinePunct w:val="0"/>
        <w:autoSpaceDE/>
        <w:autoSpaceDN/>
        <w:bidi w:val="0"/>
        <w:adjustRightInd w:val="0"/>
        <w:snapToGrid w:val="0"/>
        <w:spacing w:line="240" w:lineRule="auto"/>
        <w:ind w:firstLine="210" w:firstLineChars="100"/>
        <w:jc w:val="left"/>
        <w:textAlignment w:val="auto"/>
        <w:rPr>
          <w:color w:val="000000"/>
        </w:rPr>
      </w:pPr>
      <w:r>
        <w:rPr>
          <w:rFonts w:hint="eastAsia"/>
          <w:color w:val="000000"/>
        </w:rPr>
        <w:t>“</w:t>
      </w:r>
      <w:r>
        <w:rPr>
          <w:rFonts w:hint="eastAsia"/>
          <w:color w:val="FF0000"/>
          <w:u w:val="single"/>
        </w:rPr>
        <w:t>10.3.1.1.1 对2024年1月1日或以后建造的船舶，排气系统应装有爆炸压力释放系统，除非其设计成能够承受由于泄漏气体被点燃或发动机安全理念所证明的最恶劣情况下的超压。应对排气系统中未燃烧气体的可能性进行详细评估，涵盖从气缸至开口端的整个系统。上述详细评估应反映在发动机的安全理念中。</w:t>
      </w:r>
      <w:r>
        <w:rPr>
          <w:rFonts w:hint="eastAsia"/>
          <w:color w:val="000000"/>
        </w:rPr>
        <w:t>”</w:t>
      </w:r>
    </w:p>
    <w:p>
      <w:pPr>
        <w:keepNext w:val="0"/>
        <w:keepLines w:val="0"/>
        <w:pageBreakBefore w:val="0"/>
        <w:widowControl w:val="0"/>
        <w:kinsoku/>
        <w:wordWrap/>
        <w:overflowPunct/>
        <w:topLinePunct w:val="0"/>
        <w:autoSpaceDE/>
        <w:autoSpaceDN/>
        <w:bidi w:val="0"/>
        <w:adjustRightInd w:val="0"/>
        <w:snapToGrid w:val="0"/>
        <w:ind w:firstLine="420" w:firstLineChars="200"/>
        <w:textAlignment w:val="auto"/>
        <w:rPr>
          <w:rFonts w:hint="default" w:ascii="Times New Roman" w:hAnsi="Times New Roman" w:eastAsia="楷体" w:cs="Times New Roman"/>
          <w:snapToGrid w:val="0"/>
          <w:color w:val="0000FF"/>
          <w:kern w:val="0"/>
          <w:szCs w:val="21"/>
          <w:lang w:val="en-US" w:eastAsia="zh-CN"/>
        </w:rPr>
      </w:pPr>
    </w:p>
    <w:p>
      <w:pPr>
        <w:pStyle w:val="71"/>
        <w:jc w:val="center"/>
        <w:rPr>
          <w:rFonts w:hint="eastAsia" w:ascii="Times New Roman" w:hAnsi="Times New Roman"/>
        </w:rPr>
      </w:pPr>
      <w:bookmarkStart w:id="25" w:name="_Toc2912"/>
      <w:r>
        <w:rPr>
          <w:rFonts w:hint="eastAsia" w:ascii="Times New Roman" w:hAnsi="Times New Roman"/>
        </w:rPr>
        <w:t>11</w:t>
      </w:r>
      <w:r>
        <w:rPr>
          <w:rFonts w:hint="eastAsia" w:ascii="Times New Roman" w:hAnsi="Times New Roman"/>
          <w:lang w:val="en-US" w:eastAsia="zh-CN"/>
        </w:rPr>
        <w:t xml:space="preserve"> </w:t>
      </w:r>
      <w:r>
        <w:rPr>
          <w:rFonts w:hint="eastAsia" w:ascii="Times New Roman" w:hAnsi="Times New Roman"/>
        </w:rPr>
        <w:t xml:space="preserve"> 消防</w:t>
      </w:r>
      <w:bookmarkEnd w:id="25"/>
    </w:p>
    <w:p>
      <w:pPr>
        <w:pStyle w:val="14"/>
        <w:ind w:firstLine="420" w:firstLineChars="200"/>
        <w:jc w:val="both"/>
        <w:outlineLvl w:val="3"/>
        <w:rPr>
          <w:rFonts w:hint="eastAsia" w:ascii="Times New Roman" w:hAnsi="Times New Roman" w:eastAsia="黑体" w:cs="Times New Roman"/>
          <w:bCs/>
          <w:lang w:val="en-US" w:eastAsia="zh-CN"/>
        </w:rPr>
      </w:pPr>
      <w:r>
        <w:rPr>
          <w:rFonts w:hint="eastAsia" w:ascii="Times New Roman" w:hAnsi="Times New Roman" w:eastAsia="黑体" w:cs="Times New Roman"/>
          <w:bCs/>
          <w:lang w:val="en-US" w:eastAsia="zh-CN"/>
        </w:rPr>
        <w:t>11.3 防火要求</w:t>
      </w:r>
    </w:p>
    <w:p>
      <w:pPr>
        <w:pStyle w:val="14"/>
        <w:ind w:firstLine="420" w:firstLineChars="200"/>
        <w:jc w:val="both"/>
        <w:outlineLvl w:val="3"/>
        <w:rPr>
          <w:rFonts w:hint="eastAsia" w:ascii="Times New Roman" w:hAnsi="Times New Roman" w:eastAsia="黑体" w:cs="Times New Roman"/>
          <w:bCs/>
          <w:lang w:val="en-US" w:eastAsia="zh-CN"/>
        </w:rPr>
      </w:pPr>
    </w:p>
    <w:p>
      <w:pPr>
        <w:pStyle w:val="42"/>
        <w:keepNext w:val="0"/>
        <w:keepLines w:val="0"/>
        <w:pageBreakBefore w:val="0"/>
        <w:widowControl w:val="0"/>
        <w:numPr>
          <w:ilvl w:val="2"/>
          <w:numId w:val="0"/>
        </w:numPr>
        <w:kinsoku/>
        <w:wordWrap/>
        <w:overflowPunct/>
        <w:topLinePunct w:val="0"/>
        <w:autoSpaceDE/>
        <w:autoSpaceDN/>
        <w:bidi w:val="0"/>
        <w:adjustRightInd w:val="0"/>
        <w:snapToGrid w:val="0"/>
        <w:spacing w:beforeLines="0"/>
        <w:ind w:leftChars="0" w:firstLine="420" w:firstLineChars="200"/>
        <w:textAlignment w:val="auto"/>
        <w:rPr>
          <w:rFonts w:hint="eastAsia"/>
          <w:color w:val="000000"/>
        </w:rPr>
      </w:pPr>
      <w:r>
        <w:rPr>
          <w:rFonts w:hint="eastAsia"/>
          <w:color w:val="000000"/>
          <w:lang w:val="en-US" w:eastAsia="zh-CN"/>
        </w:rPr>
        <w:t>11.3.3</w:t>
      </w:r>
      <w:r>
        <w:rPr>
          <w:rFonts w:hint="eastAsia"/>
          <w:color w:val="000000"/>
        </w:rPr>
        <w:t>应采用一个至少900mm且具有A-60级防火等级的隔离舱，将含有燃料围护系统的处所与A类机器处所或其他具有较大失火危险的处所隔开。确定含有燃料围护系统的处所与其他具有较小失火危险处所的分隔时，含有燃料围护系统的处所应按SOLAS规则II-2/9视作A类机器处所。含有燃料围护系统的处所相互之间应采用一个至少900mm且具有A-60级防火等级的隔离舱隔开。对于C型燃料舱，可将燃料舱处所视作隔离舱。</w:t>
      </w:r>
    </w:p>
    <w:p>
      <w:pPr>
        <w:pStyle w:val="42"/>
        <w:keepNext w:val="0"/>
        <w:keepLines w:val="0"/>
        <w:pageBreakBefore w:val="0"/>
        <w:widowControl w:val="0"/>
        <w:numPr>
          <w:ilvl w:val="2"/>
          <w:numId w:val="0"/>
        </w:numPr>
        <w:kinsoku/>
        <w:wordWrap/>
        <w:overflowPunct/>
        <w:topLinePunct w:val="0"/>
        <w:autoSpaceDE/>
        <w:autoSpaceDN/>
        <w:bidi w:val="0"/>
        <w:adjustRightInd w:val="0"/>
        <w:snapToGrid w:val="0"/>
        <w:spacing w:beforeLines="0"/>
        <w:ind w:leftChars="0" w:firstLine="420" w:firstLineChars="200"/>
        <w:textAlignment w:val="auto"/>
        <w:rPr>
          <w:rFonts w:hint="eastAsia"/>
          <w:color w:val="000000"/>
        </w:rPr>
      </w:pPr>
    </w:p>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left"/>
        <w:textAlignment w:val="auto"/>
        <w:rPr>
          <w:rFonts w:hint="eastAsia" w:cs="Times New Roman"/>
          <w:color w:val="auto"/>
          <w:kern w:val="0"/>
          <w:szCs w:val="21"/>
          <w:lang w:val="en-US" w:eastAsia="zh-CN"/>
        </w:rPr>
      </w:pPr>
      <w:r>
        <w:rPr>
          <w:rFonts w:hint="eastAsia" w:ascii="楷体" w:hAnsi="楷体" w:eastAsia="楷体" w:cs="楷体"/>
          <w:color w:val="auto"/>
          <w:kern w:val="0"/>
          <w:szCs w:val="21"/>
          <w:lang w:val="en-US" w:eastAsia="zh-CN"/>
        </w:rPr>
        <w:t>自2024年1月1日起，原11.3.3改为：</w:t>
      </w:r>
      <w:r>
        <w:rPr>
          <w:rFonts w:hint="eastAsia" w:cs="Times New Roman"/>
          <w:color w:val="auto"/>
          <w:kern w:val="0"/>
          <w:szCs w:val="21"/>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240" w:lineRule="auto"/>
        <w:ind w:firstLine="210" w:firstLineChars="100"/>
        <w:jc w:val="left"/>
        <w:textAlignment w:val="auto"/>
        <w:rPr>
          <w:color w:val="000000"/>
        </w:rPr>
      </w:pPr>
      <w:r>
        <w:rPr>
          <w:rFonts w:hint="eastAsia"/>
          <w:color w:val="000000"/>
        </w:rPr>
        <w:t>“</w:t>
      </w:r>
      <w:r>
        <w:rPr>
          <w:rFonts w:hint="eastAsia"/>
          <w:color w:val="FF0000"/>
          <w:u w:val="single"/>
        </w:rPr>
        <w:t>11.3.3 应采用一个至少900mm且具有A-60级防火等级的隔离舱，将含有燃料围护系统的处所与A类机器处所或其他具有较大失火危险的处所隔开。确定含有燃料围护系统的处所与其他具有较小失火危险处所的分隔时，含有燃料围护系统的处所应按SOLAS II-2/9视作A类机器处所。对于C型燃料舱，可将</w:t>
      </w:r>
      <w:bookmarkStart w:id="26" w:name="_Hlk24621639"/>
      <w:r>
        <w:rPr>
          <w:rFonts w:hint="eastAsia"/>
          <w:color w:val="FF0000"/>
          <w:u w:val="single"/>
        </w:rPr>
        <w:t>燃料舱处所视作隔离舱</w:t>
      </w:r>
      <w:bookmarkEnd w:id="26"/>
      <w:r>
        <w:rPr>
          <w:rFonts w:hint="eastAsia"/>
          <w:color w:val="FF0000"/>
          <w:u w:val="single"/>
        </w:rPr>
        <w:t>。</w:t>
      </w:r>
      <w:r>
        <w:rPr>
          <w:rFonts w:hint="eastAsia"/>
          <w:color w:val="000000"/>
        </w:rPr>
        <w:t>”</w:t>
      </w:r>
    </w:p>
    <w:p>
      <w:pPr>
        <w:keepNext w:val="0"/>
        <w:keepLines w:val="0"/>
        <w:pageBreakBefore w:val="0"/>
        <w:widowControl w:val="0"/>
        <w:kinsoku/>
        <w:wordWrap/>
        <w:overflowPunct/>
        <w:topLinePunct w:val="0"/>
        <w:autoSpaceDE/>
        <w:autoSpaceDN/>
        <w:bidi w:val="0"/>
        <w:adjustRightInd w:val="0"/>
        <w:snapToGrid w:val="0"/>
        <w:ind w:firstLine="420" w:firstLineChars="200"/>
        <w:textAlignment w:val="auto"/>
        <w:rPr>
          <w:rFonts w:hint="default" w:ascii="Times New Roman" w:hAnsi="Times New Roman" w:eastAsia="楷体" w:cs="Times New Roman"/>
          <w:snapToGrid w:val="0"/>
          <w:color w:val="0000FF"/>
          <w:kern w:val="0"/>
          <w:szCs w:val="21"/>
        </w:rPr>
      </w:pP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auto"/>
        <w:rPr>
          <w:rFonts w:hint="eastAsia" w:ascii="楷体" w:hAnsi="楷体" w:eastAsia="楷体" w:cs="楷体"/>
          <w:color w:val="auto"/>
        </w:rPr>
      </w:pPr>
      <w:r>
        <w:rPr>
          <w:rFonts w:hint="eastAsia" w:ascii="楷体" w:hAnsi="楷体" w:eastAsia="楷体" w:cs="楷体"/>
          <w:color w:val="auto"/>
          <w:lang w:eastAsia="zh-CN"/>
        </w:rPr>
        <w:t>原</w:t>
      </w:r>
      <w:r>
        <w:rPr>
          <w:rFonts w:hint="eastAsia" w:ascii="楷体" w:hAnsi="楷体" w:eastAsia="楷体" w:cs="楷体"/>
          <w:color w:val="auto"/>
        </w:rPr>
        <w:t>11.3.3后新增11.3.3.1</w:t>
      </w:r>
      <w:r>
        <w:rPr>
          <w:rFonts w:hint="eastAsia" w:ascii="楷体" w:hAnsi="楷体" w:eastAsia="楷体" w:cs="楷体"/>
          <w:color w:val="auto"/>
          <w:lang w:eastAsia="zh-CN"/>
        </w:rPr>
        <w:t>如下</w:t>
      </w:r>
      <w:r>
        <w:rPr>
          <w:rFonts w:hint="eastAsia" w:ascii="楷体" w:hAnsi="楷体" w:eastAsia="楷体" w:cs="楷体"/>
          <w:color w:val="auto"/>
        </w:rPr>
        <w:t>：</w:t>
      </w:r>
    </w:p>
    <w:p>
      <w:pPr>
        <w:keepNext w:val="0"/>
        <w:keepLines w:val="0"/>
        <w:pageBreakBefore w:val="0"/>
        <w:widowControl w:val="0"/>
        <w:kinsoku/>
        <w:wordWrap/>
        <w:overflowPunct/>
        <w:topLinePunct w:val="0"/>
        <w:autoSpaceDE/>
        <w:autoSpaceDN/>
        <w:bidi w:val="0"/>
        <w:adjustRightInd w:val="0"/>
        <w:snapToGrid w:val="0"/>
        <w:spacing w:line="240" w:lineRule="auto"/>
        <w:ind w:firstLine="210" w:firstLineChars="100"/>
        <w:jc w:val="left"/>
        <w:textAlignment w:val="auto"/>
        <w:rPr>
          <w:color w:val="FF0000"/>
          <w:u w:val="single"/>
        </w:rPr>
      </w:pPr>
      <w:r>
        <w:rPr>
          <w:rFonts w:hint="eastAsia"/>
          <w:color w:val="000000"/>
        </w:rPr>
        <w:t>“</w:t>
      </w:r>
      <w:r>
        <w:rPr>
          <w:rFonts w:hint="eastAsia"/>
          <w:color w:val="FF0000"/>
          <w:u w:val="single"/>
        </w:rPr>
        <w:t>11.3.3.1 虽然11.3.3最后一句做出规定，对于2024年1月1日或以后建造的船舶，当满足以下条件时，燃料舱处所才可视为隔离舱：</w:t>
      </w:r>
    </w:p>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color w:val="FF0000"/>
          <w:u w:val="single"/>
        </w:rPr>
      </w:pPr>
      <w:r>
        <w:rPr>
          <w:rFonts w:hint="eastAsia"/>
          <w:color w:val="FF0000"/>
          <w:u w:val="none"/>
        </w:rPr>
        <w:t xml:space="preserve">  </w:t>
      </w:r>
      <w:r>
        <w:rPr>
          <w:rFonts w:hint="eastAsia"/>
          <w:color w:val="FF0000"/>
          <w:u w:val="none"/>
          <w:lang w:val="en-US" w:eastAsia="zh-CN"/>
        </w:rPr>
        <w:t xml:space="preserve">    </w:t>
      </w:r>
      <w:r>
        <w:rPr>
          <w:rFonts w:hint="eastAsia"/>
          <w:color w:val="FF0000"/>
          <w:u w:val="single"/>
        </w:rPr>
        <w:t xml:space="preserve">.1 </w:t>
      </w:r>
      <w:r>
        <w:rPr>
          <w:rFonts w:hint="eastAsia"/>
          <w:color w:val="FF0000"/>
          <w:u w:val="single"/>
          <w:lang w:val="en-US" w:eastAsia="zh-CN"/>
        </w:rPr>
        <w:t xml:space="preserve"> </w:t>
      </w:r>
      <w:r>
        <w:rPr>
          <w:rFonts w:hint="eastAsia"/>
          <w:color w:val="FF0000"/>
          <w:u w:val="single"/>
        </w:rPr>
        <w:t>C型燃料舱不直接位于A类机器处所或其他具有较大失火危险处所的上方；且</w:t>
      </w:r>
    </w:p>
    <w:p>
      <w:pPr>
        <w:keepNext w:val="0"/>
        <w:keepLines w:val="0"/>
        <w:pageBreakBefore w:val="0"/>
        <w:widowControl w:val="0"/>
        <w:kinsoku/>
        <w:wordWrap/>
        <w:overflowPunct/>
        <w:topLinePunct w:val="0"/>
        <w:autoSpaceDE/>
        <w:autoSpaceDN/>
        <w:bidi w:val="0"/>
        <w:adjustRightInd w:val="0"/>
        <w:snapToGrid w:val="0"/>
        <w:spacing w:line="240" w:lineRule="auto"/>
        <w:ind w:left="837" w:leftChars="304" w:hanging="199" w:hangingChars="95"/>
        <w:textAlignment w:val="auto"/>
        <w:rPr>
          <w:rFonts w:hint="eastAsia"/>
          <w:color w:val="000000"/>
        </w:rPr>
      </w:pPr>
      <w:r>
        <w:rPr>
          <w:rFonts w:hint="eastAsia"/>
          <w:color w:val="FF0000"/>
          <w:u w:val="single"/>
        </w:rPr>
        <w:t>.2 从C型燃料舱外壳或燃料舱接头处所的限界面（如有时）至A-60级防火分隔的最小间距不小于900mm。</w:t>
      </w:r>
      <w:r>
        <w:rPr>
          <w:rFonts w:hint="eastAsia"/>
          <w:color w:val="000000"/>
        </w:rPr>
        <w:t>”</w:t>
      </w:r>
    </w:p>
    <w:p>
      <w:pPr>
        <w:keepNext w:val="0"/>
        <w:keepLines w:val="0"/>
        <w:pageBreakBefore w:val="0"/>
        <w:widowControl w:val="0"/>
        <w:kinsoku/>
        <w:wordWrap/>
        <w:overflowPunct/>
        <w:topLinePunct w:val="0"/>
        <w:autoSpaceDE/>
        <w:autoSpaceDN/>
        <w:bidi w:val="0"/>
        <w:adjustRightInd w:val="0"/>
        <w:snapToGrid w:val="0"/>
        <w:ind w:firstLine="420" w:firstLineChars="200"/>
        <w:textAlignment w:val="auto"/>
        <w:rPr>
          <w:rFonts w:hint="eastAsia" w:ascii="Times New Roman" w:hAnsi="Times New Roman" w:eastAsia="楷体" w:cs="Times New Roman"/>
          <w:snapToGrid w:val="0"/>
          <w:color w:val="0000FF"/>
          <w:kern w:val="0"/>
          <w:szCs w:val="21"/>
          <w:lang w:val="en-US" w:eastAsia="zh-CN"/>
        </w:rPr>
      </w:pPr>
    </w:p>
    <w:p>
      <w:pPr>
        <w:pStyle w:val="14"/>
        <w:ind w:firstLine="420" w:firstLineChars="200"/>
        <w:jc w:val="both"/>
        <w:outlineLvl w:val="3"/>
        <w:rPr>
          <w:rFonts w:hint="eastAsia" w:ascii="Times New Roman" w:hAnsi="Times New Roman" w:eastAsia="黑体" w:cs="Times New Roman"/>
          <w:bCs/>
          <w:lang w:val="en-US" w:eastAsia="zh-CN"/>
        </w:rPr>
      </w:pPr>
      <w:bookmarkStart w:id="27" w:name="_Toc439944621"/>
      <w:r>
        <w:rPr>
          <w:rFonts w:hint="eastAsia" w:ascii="Times New Roman" w:hAnsi="Times New Roman" w:eastAsia="黑体" w:cs="Times New Roman"/>
          <w:bCs/>
          <w:lang w:val="en-US" w:eastAsia="zh-CN"/>
        </w:rPr>
        <w:t>11.7对探火和失火报警系统</w:t>
      </w:r>
      <w:bookmarkEnd w:id="27"/>
      <w:r>
        <w:rPr>
          <w:rFonts w:hint="eastAsia" w:ascii="Times New Roman" w:hAnsi="Times New Roman" w:eastAsia="黑体" w:cs="Times New Roman"/>
          <w:bCs/>
          <w:lang w:val="en-US" w:eastAsia="zh-CN"/>
        </w:rPr>
        <w:t>的要求</w:t>
      </w:r>
    </w:p>
    <w:p>
      <w:pPr>
        <w:pStyle w:val="14"/>
        <w:ind w:firstLine="420" w:firstLineChars="200"/>
        <w:jc w:val="both"/>
        <w:outlineLvl w:val="3"/>
        <w:rPr>
          <w:rFonts w:hint="eastAsia" w:ascii="Times New Roman" w:hAnsi="Times New Roman" w:eastAsia="黑体" w:cs="Times New Roman"/>
          <w:bCs/>
          <w:lang w:val="en-US" w:eastAsia="zh-CN"/>
        </w:rPr>
      </w:pPr>
    </w:p>
    <w:p>
      <w:pPr>
        <w:pStyle w:val="14"/>
        <w:ind w:firstLine="420" w:firstLineChars="200"/>
        <w:jc w:val="both"/>
        <w:outlineLvl w:val="3"/>
        <w:rPr>
          <w:rFonts w:hint="eastAsia" w:ascii="楷体" w:hAnsi="楷体" w:eastAsia="楷体" w:cs="楷体"/>
          <w:color w:val="000000"/>
          <w:kern w:val="2"/>
          <w:sz w:val="21"/>
          <w:szCs w:val="22"/>
          <w:lang w:val="en-US" w:eastAsia="zh-CN" w:bidi="ar-SA"/>
        </w:rPr>
      </w:pPr>
      <w:r>
        <w:rPr>
          <w:rFonts w:hint="eastAsia" w:ascii="楷体" w:hAnsi="楷体" w:eastAsia="楷体" w:cs="楷体"/>
          <w:color w:val="000000"/>
          <w:kern w:val="2"/>
          <w:sz w:val="21"/>
          <w:szCs w:val="22"/>
          <w:lang w:val="en-US" w:eastAsia="zh-CN" w:bidi="ar-SA"/>
        </w:rPr>
        <w:t>原11.7.1改为：</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auto"/>
        <w:rPr>
          <w:rFonts w:hint="eastAsia" w:eastAsia="宋体"/>
          <w:color w:val="000000"/>
          <w:lang w:eastAsia="zh-CN"/>
        </w:rPr>
      </w:pPr>
      <w:r>
        <w:rPr>
          <w:rFonts w:hint="eastAsia"/>
          <w:strike w:val="0"/>
          <w:dstrike w:val="0"/>
          <w:color w:val="auto"/>
          <w:lang w:eastAsia="zh-CN"/>
        </w:rPr>
        <w:t>“</w:t>
      </w:r>
      <w:r>
        <w:rPr>
          <w:rFonts w:hint="eastAsia"/>
          <w:strike w:val="0"/>
          <w:dstrike w:val="0"/>
          <w:color w:val="auto"/>
          <w:lang w:val="en-US" w:eastAsia="zh-CN"/>
        </w:rPr>
        <w:t>11.7.1</w:t>
      </w:r>
      <w:r>
        <w:rPr>
          <w:rFonts w:hint="eastAsia"/>
          <w:strike/>
          <w:dstrike w:val="0"/>
          <w:color w:val="FF0000"/>
        </w:rPr>
        <w:t>在甲板以下的</w:t>
      </w:r>
      <w:r>
        <w:rPr>
          <w:rFonts w:hint="eastAsia"/>
          <w:color w:val="000000"/>
        </w:rPr>
        <w:t>燃料舱处所</w:t>
      </w:r>
      <w:r>
        <w:rPr>
          <w:rFonts w:hint="eastAsia"/>
          <w:strike/>
          <w:dstrike w:val="0"/>
          <w:color w:val="FF0000"/>
        </w:rPr>
        <w:t>和燃料围护系统的通风围阱</w:t>
      </w:r>
      <w:r>
        <w:rPr>
          <w:rFonts w:hint="eastAsia"/>
          <w:strike/>
          <w:dstrike w:val="0"/>
          <w:color w:val="FF0000"/>
          <w:lang w:val="en-US" w:eastAsia="zh-CN"/>
        </w:rPr>
        <w:t>内</w:t>
      </w:r>
      <w:r>
        <w:rPr>
          <w:rFonts w:hint="eastAsia"/>
          <w:color w:val="FF0000"/>
          <w:lang w:eastAsia="zh-CN"/>
        </w:rPr>
        <w:t>、</w:t>
      </w:r>
      <w:r>
        <w:rPr>
          <w:rFonts w:hint="eastAsia"/>
          <w:color w:val="FF0000"/>
          <w:u w:val="single"/>
        </w:rPr>
        <w:t>通向</w:t>
      </w:r>
      <w:r>
        <w:rPr>
          <w:rFonts w:hint="eastAsia"/>
          <w:color w:val="FF0000"/>
          <w:u w:val="single"/>
          <w:lang w:val="en-US" w:eastAsia="zh-CN"/>
        </w:rPr>
        <w:t>和位于</w:t>
      </w:r>
      <w:r>
        <w:rPr>
          <w:rFonts w:hint="eastAsia"/>
          <w:color w:val="FF0000"/>
          <w:u w:val="single"/>
        </w:rPr>
        <w:t>燃料舱接头处所的通风围阱</w:t>
      </w:r>
      <w:r>
        <w:rPr>
          <w:rFonts w:hint="eastAsia"/>
          <w:color w:val="000000"/>
          <w:lang w:eastAsia="zh-CN"/>
        </w:rPr>
        <w:t>，</w:t>
      </w:r>
      <w:r>
        <w:rPr>
          <w:rFonts w:hint="eastAsia"/>
          <w:color w:val="000000"/>
        </w:rPr>
        <w:t>以及不能排除火灾的所有其他气体燃料系统舱室内，应设有一个满足《国际消防系统安全规则》（FSS规则）的固定式探火和失火报警系统。</w:t>
      </w:r>
      <w:r>
        <w:rPr>
          <w:rFonts w:hint="eastAsia"/>
          <w:color w:val="000000"/>
          <w:lang w:eastAsia="zh-CN"/>
        </w:rPr>
        <w:t>”</w:t>
      </w:r>
    </w:p>
    <w:p>
      <w:pPr>
        <w:keepNext w:val="0"/>
        <w:keepLines w:val="0"/>
        <w:pageBreakBefore w:val="0"/>
        <w:widowControl w:val="0"/>
        <w:kinsoku/>
        <w:wordWrap/>
        <w:overflowPunct/>
        <w:topLinePunct w:val="0"/>
        <w:autoSpaceDE/>
        <w:autoSpaceDN/>
        <w:bidi w:val="0"/>
        <w:adjustRightInd w:val="0"/>
        <w:snapToGrid w:val="0"/>
        <w:ind w:firstLine="420" w:firstLineChars="200"/>
        <w:textAlignment w:val="auto"/>
        <w:rPr>
          <w:rFonts w:hint="eastAsia" w:ascii="Times New Roman" w:hAnsi="Times New Roman" w:eastAsia="楷体" w:cs="Times New Roman"/>
          <w:snapToGrid w:val="0"/>
          <w:color w:val="0000FF"/>
          <w:kern w:val="0"/>
          <w:szCs w:val="21"/>
        </w:rPr>
      </w:pPr>
    </w:p>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left"/>
        <w:textAlignment w:val="auto"/>
        <w:rPr>
          <w:rFonts w:hint="eastAsia" w:ascii="楷体" w:hAnsi="楷体" w:eastAsia="楷体" w:cs="楷体"/>
        </w:rPr>
      </w:pPr>
      <w:r>
        <w:rPr>
          <w:rFonts w:hint="eastAsia" w:ascii="楷体" w:hAnsi="楷体" w:eastAsia="楷体" w:cs="楷体"/>
          <w:color w:val="000000"/>
          <w:kern w:val="0"/>
          <w:sz w:val="21"/>
          <w:szCs w:val="21"/>
          <w:lang w:val="en-US" w:eastAsia="zh-CN" w:bidi="ar"/>
        </w:rPr>
        <w:t xml:space="preserve">新增 11.8 如下： </w:t>
      </w:r>
    </w:p>
    <w:p>
      <w:pPr>
        <w:keepNext w:val="0"/>
        <w:keepLines w:val="0"/>
        <w:widowControl/>
        <w:suppressLineNumbers w:val="0"/>
        <w:ind w:firstLine="420" w:firstLineChars="200"/>
        <w:jc w:val="left"/>
        <w:rPr>
          <w:rFonts w:hint="eastAsia" w:ascii="Times New Roman" w:hAnsi="Times New Roman" w:eastAsia="黑体" w:cs="Times New Roman"/>
          <w:bCs/>
          <w:kern w:val="2"/>
          <w:sz w:val="21"/>
          <w:szCs w:val="21"/>
          <w:lang w:val="en-US" w:eastAsia="zh-CN" w:bidi="ar-SA"/>
        </w:rPr>
      </w:pPr>
      <w:r>
        <w:rPr>
          <w:rFonts w:hint="eastAsia" w:ascii="宋体" w:hAnsi="宋体" w:eastAsia="宋体" w:cs="宋体"/>
          <w:color w:val="000000"/>
          <w:kern w:val="0"/>
          <w:sz w:val="21"/>
          <w:szCs w:val="21"/>
          <w:lang w:val="en-US" w:eastAsia="zh-CN" w:bidi="ar"/>
        </w:rPr>
        <w:t>“</w:t>
      </w:r>
      <w:r>
        <w:rPr>
          <w:rFonts w:hint="default" w:ascii="Times New Roman" w:hAnsi="Times New Roman" w:eastAsia="黑体" w:cs="Times New Roman"/>
          <w:bCs/>
          <w:kern w:val="2"/>
          <w:sz w:val="21"/>
          <w:szCs w:val="21"/>
          <w:lang w:val="en-US" w:eastAsia="zh-CN" w:bidi="ar-SA"/>
        </w:rPr>
        <w:t xml:space="preserve">11.8 </w:t>
      </w:r>
      <w:r>
        <w:rPr>
          <w:rFonts w:hint="eastAsia" w:ascii="Times New Roman" w:hAnsi="Times New Roman" w:eastAsia="黑体" w:cs="Times New Roman"/>
          <w:bCs/>
          <w:kern w:val="2"/>
          <w:sz w:val="21"/>
          <w:szCs w:val="21"/>
          <w:lang w:val="en-US" w:eastAsia="zh-CN" w:bidi="ar-SA"/>
        </w:rPr>
        <w:t xml:space="preserve">燃料准备间灭火系统的要求 </w:t>
      </w:r>
    </w:p>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strike w:val="0"/>
          <w:dstrike w:val="0"/>
          <w:color w:val="FF0000"/>
          <w:kern w:val="0"/>
          <w:sz w:val="21"/>
          <w:szCs w:val="21"/>
          <w:u w:val="single"/>
          <w:lang w:val="en-US" w:eastAsia="zh-CN" w:bidi="ar"/>
        </w:rPr>
        <w:t>对于</w:t>
      </w:r>
      <w:r>
        <w:rPr>
          <w:rFonts w:hint="default" w:ascii="Times New Roman" w:hAnsi="Times New Roman" w:eastAsia="宋体" w:cs="Times New Roman"/>
          <w:strike w:val="0"/>
          <w:dstrike w:val="0"/>
          <w:color w:val="FF0000"/>
          <w:kern w:val="0"/>
          <w:sz w:val="21"/>
          <w:szCs w:val="21"/>
          <w:u w:val="single"/>
          <w:lang w:val="en-US" w:eastAsia="zh-CN" w:bidi="ar"/>
        </w:rPr>
        <w:t>2024</w:t>
      </w:r>
      <w:r>
        <w:rPr>
          <w:rFonts w:hint="eastAsia" w:ascii="宋体" w:hAnsi="宋体" w:eastAsia="宋体" w:cs="宋体"/>
          <w:strike w:val="0"/>
          <w:dstrike w:val="0"/>
          <w:color w:val="FF0000"/>
          <w:kern w:val="0"/>
          <w:sz w:val="21"/>
          <w:szCs w:val="21"/>
          <w:u w:val="single"/>
          <w:lang w:val="en-US" w:eastAsia="zh-CN" w:bidi="ar"/>
        </w:rPr>
        <w:t>年</w:t>
      </w:r>
      <w:r>
        <w:rPr>
          <w:rFonts w:hint="default" w:ascii="Times New Roman" w:hAnsi="Times New Roman" w:eastAsia="宋体" w:cs="Times New Roman"/>
          <w:strike w:val="0"/>
          <w:dstrike w:val="0"/>
          <w:color w:val="FF0000"/>
          <w:kern w:val="0"/>
          <w:sz w:val="21"/>
          <w:szCs w:val="21"/>
          <w:u w:val="single"/>
          <w:lang w:val="en-US" w:eastAsia="zh-CN" w:bidi="ar"/>
        </w:rPr>
        <w:t>1</w:t>
      </w:r>
      <w:r>
        <w:rPr>
          <w:rFonts w:hint="eastAsia" w:ascii="宋体" w:hAnsi="宋体" w:eastAsia="宋体" w:cs="宋体"/>
          <w:strike w:val="0"/>
          <w:dstrike w:val="0"/>
          <w:color w:val="FF0000"/>
          <w:kern w:val="0"/>
          <w:sz w:val="21"/>
          <w:szCs w:val="21"/>
          <w:u w:val="single"/>
          <w:lang w:val="en-US" w:eastAsia="zh-CN" w:bidi="ar"/>
        </w:rPr>
        <w:t>月</w:t>
      </w:r>
      <w:r>
        <w:rPr>
          <w:rFonts w:hint="default" w:ascii="Times New Roman" w:hAnsi="Times New Roman" w:eastAsia="宋体" w:cs="Times New Roman"/>
          <w:strike w:val="0"/>
          <w:dstrike w:val="0"/>
          <w:color w:val="FF0000"/>
          <w:kern w:val="0"/>
          <w:sz w:val="21"/>
          <w:szCs w:val="21"/>
          <w:u w:val="single"/>
          <w:lang w:val="en-US" w:eastAsia="zh-CN" w:bidi="ar"/>
        </w:rPr>
        <w:t>1</w:t>
      </w:r>
      <w:r>
        <w:rPr>
          <w:rFonts w:hint="eastAsia" w:ascii="宋体" w:hAnsi="宋体" w:eastAsia="宋体" w:cs="宋体"/>
          <w:strike w:val="0"/>
          <w:dstrike w:val="0"/>
          <w:color w:val="FF0000"/>
          <w:kern w:val="0"/>
          <w:sz w:val="21"/>
          <w:szCs w:val="21"/>
          <w:u w:val="single"/>
          <w:lang w:val="en-US" w:eastAsia="zh-CN" w:bidi="ar"/>
        </w:rPr>
        <w:t xml:space="preserve">日或以后建造的船舶，含有泵、压缩机或其他潜在着火源的燃料准备间，应配备满足 </w:t>
      </w:r>
      <w:r>
        <w:rPr>
          <w:rFonts w:hint="default" w:ascii="Times New Roman" w:hAnsi="Times New Roman" w:eastAsia="宋体" w:cs="Times New Roman"/>
          <w:strike w:val="0"/>
          <w:dstrike w:val="0"/>
          <w:color w:val="FF0000"/>
          <w:kern w:val="0"/>
          <w:sz w:val="21"/>
          <w:szCs w:val="21"/>
          <w:u w:val="single"/>
          <w:lang w:val="en-US" w:eastAsia="zh-CN" w:bidi="ar"/>
        </w:rPr>
        <w:t xml:space="preserve">SOLAS II-2/10.4.1.1 </w:t>
      </w:r>
      <w:r>
        <w:rPr>
          <w:rFonts w:hint="eastAsia" w:ascii="宋体" w:hAnsi="宋体" w:eastAsia="宋体" w:cs="宋体"/>
          <w:strike w:val="0"/>
          <w:dstrike w:val="0"/>
          <w:color w:val="FF0000"/>
          <w:kern w:val="0"/>
          <w:sz w:val="21"/>
          <w:szCs w:val="21"/>
          <w:u w:val="single"/>
          <w:lang w:val="en-US" w:eastAsia="zh-CN" w:bidi="ar"/>
        </w:rPr>
        <w:t>要求的固定式灭火系统，并考虑扑灭气体火灾所必需的浓度或施放率。</w:t>
      </w:r>
      <w:r>
        <w:rPr>
          <w:rFonts w:hint="eastAsia" w:ascii="宋体" w:hAnsi="宋体" w:eastAsia="宋体" w:cs="宋体"/>
          <w:color w:val="000000"/>
          <w:kern w:val="0"/>
          <w:sz w:val="21"/>
          <w:szCs w:val="21"/>
          <w:lang w:val="en-US" w:eastAsia="zh-CN" w:bidi="ar"/>
        </w:rPr>
        <w:t xml:space="preserve">” </w:t>
      </w:r>
    </w:p>
    <w:p>
      <w:pPr>
        <w:keepNext w:val="0"/>
        <w:keepLines w:val="0"/>
        <w:pageBreakBefore w:val="0"/>
        <w:widowControl w:val="0"/>
        <w:kinsoku/>
        <w:wordWrap/>
        <w:overflowPunct/>
        <w:topLinePunct w:val="0"/>
        <w:autoSpaceDE/>
        <w:autoSpaceDN/>
        <w:bidi w:val="0"/>
        <w:adjustRightInd w:val="0"/>
        <w:snapToGrid w:val="0"/>
        <w:ind w:firstLine="420" w:firstLineChars="200"/>
        <w:textAlignment w:val="auto"/>
        <w:rPr>
          <w:rFonts w:hint="default" w:ascii="Times New Roman" w:hAnsi="Times New Roman" w:eastAsia="楷体" w:cs="Times New Roman"/>
          <w:snapToGrid w:val="0"/>
          <w:color w:val="0000FF"/>
          <w:kern w:val="0"/>
          <w:szCs w:val="21"/>
        </w:rPr>
      </w:pPr>
    </w:p>
    <w:p>
      <w:pPr>
        <w:pStyle w:val="71"/>
        <w:jc w:val="center"/>
        <w:rPr>
          <w:rFonts w:hint="eastAsia" w:ascii="Times New Roman" w:hAnsi="Times New Roman"/>
        </w:rPr>
      </w:pPr>
      <w:bookmarkStart w:id="28" w:name="_Toc439944637"/>
      <w:bookmarkStart w:id="29" w:name="_Toc23042"/>
      <w:r>
        <w:rPr>
          <w:rFonts w:hint="eastAsia" w:ascii="Times New Roman" w:hAnsi="Times New Roman"/>
          <w:lang w:val="en-US" w:eastAsia="zh-CN"/>
        </w:rPr>
        <w:t>1</w:t>
      </w:r>
      <w:bookmarkEnd w:id="28"/>
      <w:bookmarkStart w:id="30" w:name="_Toc416777964"/>
      <w:bookmarkEnd w:id="30"/>
      <w:bookmarkStart w:id="31" w:name="_Toc439944641"/>
      <w:r>
        <w:rPr>
          <w:rFonts w:hint="eastAsia" w:ascii="Times New Roman" w:hAnsi="Times New Roman"/>
          <w:lang w:val="en-US" w:eastAsia="zh-CN"/>
        </w:rPr>
        <w:t xml:space="preserve">5  </w:t>
      </w:r>
      <w:r>
        <w:rPr>
          <w:color w:val="000000"/>
        </w:rPr>
        <w:t>控制、监测和安全系统</w:t>
      </w:r>
      <w:bookmarkEnd w:id="29"/>
      <w:bookmarkEnd w:id="31"/>
    </w:p>
    <w:p>
      <w:pPr>
        <w:pStyle w:val="14"/>
        <w:ind w:firstLine="420" w:firstLineChars="200"/>
        <w:jc w:val="both"/>
        <w:outlineLvl w:val="3"/>
        <w:rPr>
          <w:rFonts w:hint="eastAsia" w:ascii="Times New Roman" w:hAnsi="Times New Roman" w:eastAsia="黑体" w:cs="Times New Roman"/>
          <w:bCs/>
          <w:lang w:val="en-US" w:eastAsia="zh-CN"/>
        </w:rPr>
      </w:pPr>
      <w:bookmarkStart w:id="32" w:name="_Toc439944640"/>
      <w:r>
        <w:rPr>
          <w:rFonts w:hint="eastAsia" w:ascii="Times New Roman" w:hAnsi="Times New Roman" w:eastAsia="黑体" w:cs="Times New Roman"/>
          <w:bCs/>
          <w:lang w:val="en-US" w:eastAsia="zh-CN"/>
        </w:rPr>
        <w:t>15.</w:t>
      </w:r>
      <w:bookmarkEnd w:id="32"/>
      <w:bookmarkStart w:id="33" w:name="_Toc439944645"/>
      <w:r>
        <w:rPr>
          <w:rFonts w:hint="eastAsia" w:ascii="Times New Roman" w:hAnsi="Times New Roman" w:eastAsia="黑体" w:cs="Times New Roman"/>
          <w:bCs/>
          <w:lang w:val="en-US" w:eastAsia="zh-CN"/>
        </w:rPr>
        <w:t>4对加注和燃料舱监测的要求</w:t>
      </w:r>
      <w:bookmarkEnd w:id="33"/>
    </w:p>
    <w:p>
      <w:pPr>
        <w:pStyle w:val="14"/>
        <w:jc w:val="both"/>
        <w:outlineLvl w:val="3"/>
        <w:rPr>
          <w:rFonts w:hint="eastAsia" w:ascii="Calibri" w:hAnsi="Calibri" w:eastAsia="宋体" w:cs="黑体"/>
          <w:color w:val="000000"/>
          <w:kern w:val="2"/>
          <w:sz w:val="21"/>
          <w:szCs w:val="22"/>
          <w:lang w:val="en-US" w:eastAsia="zh-CN" w:bidi="ar-SA"/>
        </w:rPr>
      </w:pPr>
    </w:p>
    <w:p>
      <w:pPr>
        <w:pStyle w:val="14"/>
        <w:ind w:firstLine="420" w:firstLineChars="200"/>
        <w:jc w:val="both"/>
        <w:outlineLvl w:val="3"/>
        <w:rPr>
          <w:rFonts w:hint="eastAsia" w:ascii="楷体" w:hAnsi="楷体" w:eastAsia="楷体" w:cs="楷体"/>
          <w:color w:val="000000"/>
          <w:kern w:val="2"/>
          <w:sz w:val="21"/>
          <w:szCs w:val="22"/>
          <w:lang w:val="en-US" w:eastAsia="zh-CN" w:bidi="ar-SA"/>
        </w:rPr>
      </w:pPr>
      <w:r>
        <w:rPr>
          <w:rFonts w:hint="eastAsia" w:ascii="楷体" w:hAnsi="楷体" w:eastAsia="楷体" w:cs="楷体"/>
          <w:color w:val="000000"/>
          <w:kern w:val="2"/>
          <w:sz w:val="21"/>
          <w:szCs w:val="22"/>
          <w:lang w:val="en-US" w:eastAsia="zh-CN" w:bidi="ar-SA"/>
        </w:rPr>
        <w:t>原15.4.10改为：</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auto"/>
        <w:rPr>
          <w:rFonts w:hint="eastAsia"/>
          <w:strike w:val="0"/>
          <w:dstrike w:val="0"/>
          <w:color w:val="auto"/>
          <w:lang w:eastAsia="zh-CN"/>
        </w:rPr>
      </w:pPr>
      <w:r>
        <w:rPr>
          <w:rFonts w:hint="eastAsia"/>
          <w:strike w:val="0"/>
          <w:dstrike w:val="0"/>
          <w:color w:val="auto"/>
          <w:lang w:val="en-US" w:eastAsia="zh-CN"/>
        </w:rPr>
        <w:t>“15.4.10</w:t>
      </w:r>
      <w:r>
        <w:rPr>
          <w:rFonts w:hint="eastAsia"/>
          <w:strike w:val="0"/>
          <w:dstrike w:val="0"/>
          <w:color w:val="auto"/>
          <w:lang w:eastAsia="zh-CN"/>
        </w:rPr>
        <w:t>燃料舱的潜液泵电动机及其电缆的布置，应在低液位时发出报警，并在</w:t>
      </w:r>
      <w:r>
        <w:rPr>
          <w:rFonts w:hint="eastAsia"/>
          <w:strike w:val="0"/>
          <w:dstrike w:val="0"/>
          <w:color w:val="FF0000"/>
          <w:u w:val="single"/>
          <w:lang w:eastAsia="zh-CN"/>
        </w:rPr>
        <w:t>低</w:t>
      </w:r>
      <w:r>
        <w:rPr>
          <w:rFonts w:hint="eastAsia"/>
          <w:strike w:val="0"/>
          <w:dstrike w:val="0"/>
          <w:color w:val="auto"/>
          <w:lang w:eastAsia="zh-CN"/>
        </w:rPr>
        <w:t>低液位时自动关停电动机。自动关停电动机可通过探测泵出口压力低，电动机低电流或低液位来实现。此关停应在驾驶室、连续有人值班的集控站或船舶安全中心发出听觉和视觉报警。”</w:t>
      </w:r>
    </w:p>
    <w:p>
      <w:pPr>
        <w:keepNext w:val="0"/>
        <w:keepLines w:val="0"/>
        <w:widowControl/>
        <w:suppressLineNumbers w:val="0"/>
        <w:ind w:firstLine="420" w:firstLineChars="200"/>
        <w:jc w:val="left"/>
        <w:rPr>
          <w:rFonts w:hint="eastAsia" w:ascii="Times New Roman" w:hAnsi="Times New Roman" w:eastAsia="楷体" w:cs="Times New Roman"/>
          <w:snapToGrid w:val="0"/>
          <w:color w:val="0000FF"/>
          <w:kern w:val="0"/>
          <w:szCs w:val="21"/>
          <w:lang w:val="en-US" w:eastAsia="zh-CN"/>
        </w:rPr>
      </w:pPr>
    </w:p>
    <w:p>
      <w:pPr>
        <w:pStyle w:val="14"/>
        <w:ind w:firstLine="420" w:firstLineChars="200"/>
        <w:jc w:val="both"/>
        <w:outlineLvl w:val="3"/>
        <w:rPr>
          <w:rFonts w:hint="eastAsia" w:ascii="Times New Roman" w:hAnsi="Times New Roman" w:eastAsia="黑体" w:cs="Times New Roman"/>
          <w:bCs/>
          <w:lang w:val="en-US" w:eastAsia="zh-CN"/>
        </w:rPr>
      </w:pPr>
      <w:bookmarkStart w:id="34" w:name="_Toc439944649"/>
      <w:r>
        <w:rPr>
          <w:rFonts w:hint="eastAsia" w:ascii="Times New Roman" w:hAnsi="Times New Roman" w:eastAsia="黑体" w:cs="Times New Roman"/>
          <w:bCs/>
          <w:lang w:val="en-US" w:eastAsia="zh-CN"/>
        </w:rPr>
        <w:t>15.8对气体探测的要求</w:t>
      </w:r>
      <w:bookmarkEnd w:id="34"/>
    </w:p>
    <w:p>
      <w:pPr>
        <w:keepNext w:val="0"/>
        <w:keepLines w:val="0"/>
        <w:widowControl/>
        <w:suppressLineNumbers w:val="0"/>
        <w:ind w:firstLine="420" w:firstLineChars="200"/>
        <w:jc w:val="left"/>
        <w:rPr>
          <w:rFonts w:hint="default" w:ascii="Times New Roman" w:hAnsi="Times New Roman" w:eastAsia="楷体" w:cs="Times New Roman"/>
          <w:snapToGrid w:val="0"/>
          <w:color w:val="0000FF"/>
          <w:kern w:val="0"/>
          <w:szCs w:val="21"/>
          <w:lang w:val="en-US" w:eastAsia="zh-CN"/>
        </w:rPr>
      </w:pPr>
    </w:p>
    <w:p>
      <w:pPr>
        <w:pStyle w:val="14"/>
        <w:ind w:firstLine="420" w:firstLineChars="200"/>
        <w:jc w:val="both"/>
        <w:outlineLvl w:val="3"/>
        <w:rPr>
          <w:rFonts w:hint="eastAsia" w:ascii="楷体" w:hAnsi="楷体" w:eastAsia="楷体" w:cs="楷体"/>
          <w:color w:val="000000"/>
          <w:kern w:val="2"/>
          <w:sz w:val="21"/>
          <w:szCs w:val="22"/>
          <w:lang w:val="en-US" w:eastAsia="zh-CN" w:bidi="ar-SA"/>
        </w:rPr>
      </w:pPr>
      <w:r>
        <w:rPr>
          <w:rFonts w:hint="eastAsia" w:ascii="楷体" w:hAnsi="楷体" w:eastAsia="楷体" w:cs="楷体"/>
          <w:color w:val="000000"/>
          <w:kern w:val="2"/>
          <w:sz w:val="21"/>
          <w:szCs w:val="22"/>
          <w:lang w:val="en-US" w:eastAsia="zh-CN" w:bidi="ar-SA"/>
        </w:rPr>
        <w:t>原15.8.1.9和.10改为：</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auto"/>
        <w:rPr>
          <w:rFonts w:hint="eastAsia"/>
          <w:strike w:val="0"/>
          <w:dstrike w:val="0"/>
          <w:color w:val="auto"/>
          <w:lang w:val="en-US" w:eastAsia="zh-CN"/>
        </w:rPr>
      </w:pPr>
      <w:r>
        <w:rPr>
          <w:rFonts w:hint="eastAsia"/>
          <w:strike w:val="0"/>
          <w:dstrike w:val="0"/>
          <w:color w:val="auto"/>
          <w:lang w:val="en-US" w:eastAsia="zh-CN"/>
        </w:rPr>
        <w:t>“15.8.1在下述位置应安装固定式气体探测器：</w:t>
      </w:r>
    </w:p>
    <w:p>
      <w:pPr>
        <w:keepNext w:val="0"/>
        <w:keepLines w:val="0"/>
        <w:pageBreakBefore w:val="0"/>
        <w:widowControl w:val="0"/>
        <w:kinsoku/>
        <w:wordWrap/>
        <w:overflowPunct/>
        <w:topLinePunct w:val="0"/>
        <w:autoSpaceDE/>
        <w:autoSpaceDN/>
        <w:bidi w:val="0"/>
        <w:adjustRightInd w:val="0"/>
        <w:snapToGrid w:val="0"/>
        <w:spacing w:line="240" w:lineRule="auto"/>
        <w:ind w:firstLine="840" w:firstLineChars="400"/>
        <w:jc w:val="left"/>
        <w:textAlignment w:val="auto"/>
        <w:rPr>
          <w:rFonts w:hint="default"/>
          <w:strike w:val="0"/>
          <w:dstrike w:val="0"/>
          <w:color w:val="auto"/>
          <w:lang w:val="en-US" w:eastAsia="zh-CN"/>
        </w:rPr>
      </w:pPr>
      <w:r>
        <w:rPr>
          <w:rFonts w:hint="eastAsia"/>
          <w:strike w:val="0"/>
          <w:dstrike w:val="0"/>
          <w:color w:val="auto"/>
          <w:lang w:val="en-US" w:eastAsia="zh-CN"/>
        </w:rPr>
        <w:t>.......</w:t>
      </w:r>
    </w:p>
    <w:p>
      <w:pPr>
        <w:keepNext w:val="0"/>
        <w:keepLines w:val="0"/>
        <w:pageBreakBefore w:val="0"/>
        <w:widowControl w:val="0"/>
        <w:kinsoku/>
        <w:wordWrap/>
        <w:overflowPunct/>
        <w:topLinePunct w:val="0"/>
        <w:autoSpaceDE/>
        <w:autoSpaceDN/>
        <w:bidi w:val="0"/>
        <w:adjustRightInd w:val="0"/>
        <w:snapToGrid w:val="0"/>
        <w:spacing w:line="240" w:lineRule="auto"/>
        <w:ind w:firstLine="840" w:firstLineChars="400"/>
        <w:jc w:val="left"/>
        <w:textAlignment w:val="auto"/>
        <w:rPr>
          <w:rFonts w:hint="eastAsia"/>
          <w:strike w:val="0"/>
          <w:dstrike w:val="0"/>
          <w:color w:val="auto"/>
          <w:lang w:val="en-US" w:eastAsia="zh-CN"/>
        </w:rPr>
      </w:pPr>
      <w:r>
        <w:rPr>
          <w:rFonts w:hint="eastAsia"/>
          <w:strike w:val="0"/>
          <w:dstrike w:val="0"/>
          <w:color w:val="auto"/>
          <w:lang w:val="en-US" w:eastAsia="zh-CN"/>
        </w:rPr>
        <w:t>.9 与气体燃料系统相关的电动机处所内；和</w:t>
      </w:r>
      <w:r>
        <w:rPr>
          <w:rFonts w:hint="eastAsia"/>
          <w:strike/>
          <w:dstrike w:val="0"/>
          <w:color w:val="FF0000"/>
          <w:lang w:val="en-US" w:eastAsia="zh-CN"/>
        </w:rPr>
        <w:t>/或</w:t>
      </w:r>
    </w:p>
    <w:p>
      <w:pPr>
        <w:keepNext w:val="0"/>
        <w:keepLines w:val="0"/>
        <w:pageBreakBefore w:val="0"/>
        <w:widowControl w:val="0"/>
        <w:kinsoku/>
        <w:wordWrap/>
        <w:overflowPunct/>
        <w:topLinePunct w:val="0"/>
        <w:autoSpaceDE/>
        <w:autoSpaceDN/>
        <w:bidi w:val="0"/>
        <w:adjustRightInd w:val="0"/>
        <w:snapToGrid w:val="0"/>
        <w:spacing w:line="240" w:lineRule="auto"/>
        <w:ind w:left="1058" w:leftChars="400" w:hanging="218" w:hangingChars="104"/>
        <w:jc w:val="left"/>
        <w:textAlignment w:val="auto"/>
        <w:rPr>
          <w:rFonts w:hint="eastAsia"/>
          <w:strike w:val="0"/>
          <w:dstrike w:val="0"/>
          <w:color w:val="auto"/>
          <w:lang w:val="en-US" w:eastAsia="zh-CN"/>
        </w:rPr>
      </w:pPr>
      <w:r>
        <w:rPr>
          <w:rFonts w:hint="eastAsia"/>
          <w:strike w:val="0"/>
          <w:dstrike w:val="0"/>
          <w:color w:val="auto"/>
          <w:lang w:val="en-US" w:eastAsia="zh-CN"/>
        </w:rPr>
        <w:t>.10 经4.2所要求的风险分析后，可能存在可燃气体的起居处所和机器处所的通风进口。”</w:t>
      </w:r>
    </w:p>
    <w:p>
      <w:pPr>
        <w:keepNext w:val="0"/>
        <w:keepLines w:val="0"/>
        <w:pageBreakBefore w:val="0"/>
        <w:widowControl w:val="0"/>
        <w:kinsoku/>
        <w:wordWrap/>
        <w:overflowPunct/>
        <w:topLinePunct w:val="0"/>
        <w:autoSpaceDE/>
        <w:autoSpaceDN/>
        <w:bidi w:val="0"/>
        <w:adjustRightInd w:val="0"/>
        <w:snapToGrid w:val="0"/>
        <w:spacing w:line="240" w:lineRule="auto"/>
        <w:ind w:left="1058" w:leftChars="400" w:hanging="218" w:hangingChars="104"/>
        <w:jc w:val="left"/>
        <w:textAlignment w:val="auto"/>
        <w:rPr>
          <w:rFonts w:hint="eastAsia"/>
          <w:strike w:val="0"/>
          <w:dstrike w:val="0"/>
          <w:color w:val="auto"/>
          <w:lang w:val="en-US" w:eastAsia="zh-CN"/>
        </w:rPr>
      </w:pPr>
    </w:p>
    <w:p>
      <w:pPr>
        <w:pStyle w:val="14"/>
        <w:ind w:firstLine="420" w:firstLineChars="200"/>
        <w:jc w:val="both"/>
        <w:outlineLvl w:val="3"/>
        <w:rPr>
          <w:rFonts w:hint="eastAsia" w:ascii="Times New Roman" w:hAnsi="Times New Roman" w:eastAsia="黑体" w:cs="Times New Roman"/>
          <w:bCs/>
          <w:lang w:val="en-US" w:eastAsia="zh-CN"/>
        </w:rPr>
      </w:pPr>
      <w:bookmarkStart w:id="35" w:name="_Toc439944652"/>
      <w:r>
        <w:rPr>
          <w:rFonts w:hint="eastAsia" w:ascii="Times New Roman" w:hAnsi="Times New Roman" w:eastAsia="黑体" w:cs="Times New Roman"/>
          <w:bCs/>
          <w:lang w:val="en-US" w:eastAsia="zh-CN"/>
        </w:rPr>
        <w:t>15.11对燃料供应系统安全功能的要求</w:t>
      </w:r>
      <w:bookmarkEnd w:id="35"/>
    </w:p>
    <w:p>
      <w:pPr>
        <w:pStyle w:val="14"/>
        <w:ind w:firstLine="420" w:firstLineChars="200"/>
        <w:jc w:val="both"/>
        <w:outlineLvl w:val="3"/>
        <w:rPr>
          <w:rFonts w:hint="eastAsia" w:ascii="Times New Roman" w:hAnsi="Times New Roman" w:eastAsia="黑体" w:cs="Times New Roman"/>
          <w:bCs/>
          <w:lang w:val="en-US" w:eastAsia="zh-CN"/>
        </w:rPr>
      </w:pPr>
    </w:p>
    <w:p>
      <w:pPr>
        <w:pStyle w:val="14"/>
        <w:ind w:firstLine="420" w:firstLineChars="200"/>
        <w:jc w:val="both"/>
        <w:outlineLvl w:val="3"/>
        <w:rPr>
          <w:rFonts w:hint="eastAsia" w:ascii="楷体" w:hAnsi="楷体" w:eastAsia="楷体" w:cs="楷体"/>
          <w:color w:val="000000"/>
          <w:kern w:val="2"/>
          <w:sz w:val="21"/>
          <w:szCs w:val="22"/>
          <w:lang w:val="en-US" w:eastAsia="zh-CN" w:bidi="ar-SA"/>
        </w:rPr>
      </w:pPr>
      <w:r>
        <w:rPr>
          <w:rFonts w:hint="eastAsia" w:ascii="楷体" w:hAnsi="楷体" w:eastAsia="楷体" w:cs="楷体"/>
          <w:color w:val="000000"/>
          <w:kern w:val="2"/>
          <w:sz w:val="21"/>
          <w:szCs w:val="22"/>
          <w:lang w:val="en-US" w:eastAsia="zh-CN" w:bidi="ar-SA"/>
        </w:rPr>
        <w:t>原表1改为：</w:t>
      </w:r>
    </w:p>
    <w:p>
      <w:pPr>
        <w:adjustRightInd w:val="0"/>
        <w:spacing w:line="360" w:lineRule="auto"/>
        <w:ind w:firstLine="2730" w:firstLineChars="1300"/>
        <w:jc w:val="left"/>
        <w:rPr>
          <w:rFonts w:ascii="黑体" w:hAnsi="黑体" w:eastAsia="黑体" w:cs="Times New Roman"/>
          <w:color w:val="000000"/>
        </w:rPr>
      </w:pPr>
      <w:r>
        <w:rPr>
          <w:rFonts w:hint="eastAsia" w:ascii="黑体" w:hAnsi="黑体" w:eastAsia="黑体" w:cs="Times New Roman"/>
          <w:color w:val="000000"/>
          <w:lang w:eastAsia="zh-CN"/>
        </w:rPr>
        <w:t>“</w:t>
      </w:r>
      <w:r>
        <w:rPr>
          <w:rFonts w:hint="eastAsia" w:ascii="黑体" w:hAnsi="黑体" w:eastAsia="黑体" w:cs="Times New Roman"/>
          <w:color w:val="000000"/>
        </w:rPr>
        <w:t>气体燃料供应系统的监控</w:t>
      </w:r>
      <w:r>
        <w:rPr>
          <w:rFonts w:hint="eastAsia" w:ascii="黑体" w:hAnsi="黑体" w:eastAsia="黑体" w:cs="Times New Roman"/>
          <w:color w:val="000000"/>
          <w:lang w:val="en-US" w:eastAsia="zh-CN"/>
        </w:rPr>
        <w:t xml:space="preserve">                        </w:t>
      </w:r>
      <w:r>
        <w:rPr>
          <w:rFonts w:hint="eastAsia" w:ascii="黑体" w:hAnsi="黑体" w:eastAsia="黑体" w:cs="Times New Roman"/>
          <w:color w:val="000000"/>
        </w:rPr>
        <w:t xml:space="preserve">表1 </w:t>
      </w:r>
    </w:p>
    <w:tbl>
      <w:tblPr>
        <w:tblStyle w:val="28"/>
        <w:tblW w:w="9025" w:type="dxa"/>
        <w:jc w:val="center"/>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top w:w="0" w:type="dxa"/>
          <w:left w:w="108" w:type="dxa"/>
          <w:bottom w:w="0" w:type="dxa"/>
          <w:right w:w="108" w:type="dxa"/>
        </w:tblCellMar>
      </w:tblPr>
      <w:tblGrid>
        <w:gridCol w:w="4473"/>
        <w:gridCol w:w="748"/>
        <w:gridCol w:w="1174"/>
        <w:gridCol w:w="1031"/>
        <w:gridCol w:w="1599"/>
      </w:tblGrid>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4473" w:type="dxa"/>
            <w:vAlign w:val="center"/>
          </w:tcPr>
          <w:p>
            <w:pPr>
              <w:autoSpaceDE w:val="0"/>
              <w:autoSpaceDN w:val="0"/>
              <w:adjustRightInd w:val="0"/>
              <w:snapToGrid w:val="0"/>
              <w:jc w:val="center"/>
              <w:rPr>
                <w:rFonts w:ascii="宋体" w:hAnsi="宋体" w:cs="Times New Roman"/>
                <w:bCs/>
                <w:color w:val="000000"/>
                <w:kern w:val="0"/>
                <w:szCs w:val="21"/>
              </w:rPr>
            </w:pPr>
            <w:r>
              <w:rPr>
                <w:rFonts w:hint="eastAsia" w:ascii="宋体" w:hAnsi="宋体" w:cs="Times New Roman"/>
                <w:bCs/>
                <w:color w:val="000000"/>
                <w:kern w:val="0"/>
                <w:szCs w:val="21"/>
              </w:rPr>
              <w:t>参   数</w:t>
            </w:r>
          </w:p>
        </w:tc>
        <w:tc>
          <w:tcPr>
            <w:tcW w:w="748" w:type="dxa"/>
            <w:vAlign w:val="center"/>
          </w:tcPr>
          <w:p>
            <w:pPr>
              <w:autoSpaceDE w:val="0"/>
              <w:autoSpaceDN w:val="0"/>
              <w:adjustRightInd w:val="0"/>
              <w:snapToGrid w:val="0"/>
              <w:jc w:val="center"/>
              <w:rPr>
                <w:rFonts w:ascii="宋体" w:hAnsi="宋体" w:cs="Times New Roman"/>
                <w:bCs/>
                <w:color w:val="000000"/>
                <w:kern w:val="0"/>
                <w:szCs w:val="21"/>
              </w:rPr>
            </w:pPr>
            <w:r>
              <w:rPr>
                <w:rFonts w:hint="eastAsia" w:ascii="宋体" w:hAnsi="宋体" w:cs="Times New Roman"/>
                <w:bCs/>
                <w:color w:val="000000"/>
                <w:kern w:val="0"/>
                <w:szCs w:val="21"/>
              </w:rPr>
              <w:t>报</w:t>
            </w:r>
          </w:p>
          <w:p>
            <w:pPr>
              <w:autoSpaceDE w:val="0"/>
              <w:autoSpaceDN w:val="0"/>
              <w:adjustRightInd w:val="0"/>
              <w:snapToGrid w:val="0"/>
              <w:jc w:val="center"/>
              <w:rPr>
                <w:rFonts w:ascii="宋体" w:hAnsi="宋体" w:cs="Times New Roman"/>
                <w:bCs/>
                <w:color w:val="000000"/>
                <w:kern w:val="0"/>
                <w:szCs w:val="21"/>
              </w:rPr>
            </w:pPr>
            <w:r>
              <w:rPr>
                <w:rFonts w:hint="eastAsia" w:ascii="宋体" w:hAnsi="宋体" w:cs="Times New Roman"/>
                <w:bCs/>
                <w:color w:val="000000"/>
                <w:kern w:val="0"/>
                <w:szCs w:val="21"/>
              </w:rPr>
              <w:t>警</w:t>
            </w:r>
          </w:p>
        </w:tc>
        <w:tc>
          <w:tcPr>
            <w:tcW w:w="1174" w:type="dxa"/>
            <w:vAlign w:val="center"/>
          </w:tcPr>
          <w:p>
            <w:pPr>
              <w:autoSpaceDE w:val="0"/>
              <w:autoSpaceDN w:val="0"/>
              <w:adjustRightInd w:val="0"/>
              <w:snapToGrid w:val="0"/>
              <w:jc w:val="center"/>
              <w:rPr>
                <w:rFonts w:ascii="宋体" w:hAnsi="宋体" w:cs="Times New Roman"/>
                <w:color w:val="000000"/>
                <w:kern w:val="0"/>
                <w:szCs w:val="21"/>
              </w:rPr>
            </w:pPr>
            <w:r>
              <w:rPr>
                <w:rFonts w:hint="eastAsia" w:ascii="宋体" w:hAnsi="宋体" w:cs="Times New Roman"/>
                <w:color w:val="000000"/>
                <w:kern w:val="0"/>
                <w:szCs w:val="21"/>
              </w:rPr>
              <w:t>燃料舱主阀自动关闭</w:t>
            </w:r>
            <w:r>
              <w:rPr>
                <w:rFonts w:hint="eastAsia" w:ascii="宋体" w:hAnsi="宋体" w:cs="Times New Roman"/>
                <w:color w:val="000000"/>
                <w:kern w:val="0"/>
                <w:szCs w:val="21"/>
                <w:vertAlign w:val="superscript"/>
              </w:rPr>
              <w:t>6</w:t>
            </w:r>
            <w:r>
              <w:rPr>
                <w:rFonts w:ascii="宋体" w:hAnsi="宋体" w:cs="Times New Roman"/>
                <w:color w:val="000000"/>
                <w:kern w:val="0"/>
                <w:szCs w:val="21"/>
                <w:vertAlign w:val="superscript"/>
              </w:rPr>
              <w:t>）</w:t>
            </w:r>
          </w:p>
        </w:tc>
        <w:tc>
          <w:tcPr>
            <w:tcW w:w="1031" w:type="dxa"/>
            <w:vAlign w:val="center"/>
          </w:tcPr>
          <w:p>
            <w:pPr>
              <w:autoSpaceDE w:val="0"/>
              <w:autoSpaceDN w:val="0"/>
              <w:adjustRightInd w:val="0"/>
              <w:snapToGrid w:val="0"/>
              <w:jc w:val="center"/>
              <w:rPr>
                <w:rFonts w:ascii="宋体" w:hAnsi="宋体" w:cs="Times New Roman"/>
                <w:bCs/>
                <w:color w:val="000000"/>
                <w:kern w:val="0"/>
                <w:szCs w:val="21"/>
              </w:rPr>
            </w:pPr>
            <w:r>
              <w:rPr>
                <w:rFonts w:hint="eastAsia" w:ascii="宋体" w:hAnsi="宋体" w:cs="Times New Roman"/>
                <w:bCs/>
                <w:color w:val="000000"/>
                <w:kern w:val="0"/>
                <w:szCs w:val="21"/>
              </w:rPr>
              <w:t>自动切断燃料供应（至含有气体燃料发动机的机器处所）</w:t>
            </w:r>
          </w:p>
        </w:tc>
        <w:tc>
          <w:tcPr>
            <w:tcW w:w="1599" w:type="dxa"/>
            <w:vAlign w:val="center"/>
          </w:tcPr>
          <w:p>
            <w:pPr>
              <w:autoSpaceDE w:val="0"/>
              <w:autoSpaceDN w:val="0"/>
              <w:adjustRightInd w:val="0"/>
              <w:snapToGrid w:val="0"/>
              <w:jc w:val="center"/>
              <w:rPr>
                <w:rFonts w:ascii="宋体" w:hAnsi="宋体" w:cs="Times New Roman"/>
                <w:bCs/>
                <w:color w:val="000000"/>
                <w:kern w:val="0"/>
                <w:szCs w:val="21"/>
              </w:rPr>
            </w:pPr>
            <w:r>
              <w:rPr>
                <w:rFonts w:hint="eastAsia" w:ascii="宋体" w:hAnsi="宋体" w:cs="Times New Roman"/>
                <w:bCs/>
                <w:color w:val="000000"/>
                <w:kern w:val="0"/>
                <w:szCs w:val="21"/>
              </w:rPr>
              <w:t>备注</w:t>
            </w: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4473" w:type="dxa"/>
            <w:vAlign w:val="center"/>
          </w:tcPr>
          <w:p>
            <w:pPr>
              <w:autoSpaceDE w:val="0"/>
              <w:autoSpaceDN w:val="0"/>
              <w:adjustRightInd w:val="0"/>
              <w:snapToGrid w:val="0"/>
              <w:rPr>
                <w:rFonts w:ascii="宋体" w:hAnsi="宋体" w:cs="Times New Roman"/>
                <w:color w:val="000000"/>
                <w:kern w:val="0"/>
                <w:szCs w:val="21"/>
              </w:rPr>
            </w:pPr>
            <w:r>
              <w:rPr>
                <w:rFonts w:hint="eastAsia" w:ascii="宋体" w:hAnsi="宋体" w:cs="Times New Roman"/>
                <w:color w:val="000000"/>
                <w:kern w:val="0"/>
                <w:szCs w:val="21"/>
              </w:rPr>
              <w:t>燃料</w:t>
            </w:r>
            <w:r>
              <w:rPr>
                <w:rFonts w:ascii="宋体" w:hAnsi="宋体" w:cs="Times New Roman"/>
                <w:color w:val="000000"/>
                <w:kern w:val="0"/>
                <w:szCs w:val="21"/>
              </w:rPr>
              <w:t>舱接头</w:t>
            </w:r>
            <w:r>
              <w:rPr>
                <w:rFonts w:hint="eastAsia" w:ascii="宋体" w:hAnsi="宋体" w:cs="Times New Roman"/>
                <w:color w:val="000000"/>
                <w:kern w:val="0"/>
                <w:szCs w:val="21"/>
              </w:rPr>
              <w:t>处所内探测到气体浓度达到20%LEL</w:t>
            </w:r>
          </w:p>
        </w:tc>
        <w:tc>
          <w:tcPr>
            <w:tcW w:w="748" w:type="dxa"/>
            <w:vAlign w:val="center"/>
          </w:tcPr>
          <w:p>
            <w:pPr>
              <w:autoSpaceDE w:val="0"/>
              <w:autoSpaceDN w:val="0"/>
              <w:adjustRightInd w:val="0"/>
              <w:snapToGrid w:val="0"/>
              <w:jc w:val="center"/>
              <w:rPr>
                <w:rFonts w:ascii="宋体" w:hAnsi="宋体" w:cs="Times New Roman"/>
                <w:color w:val="000000"/>
                <w:kern w:val="0"/>
                <w:szCs w:val="21"/>
              </w:rPr>
            </w:pPr>
            <w:r>
              <w:rPr>
                <w:rFonts w:hint="eastAsia" w:ascii="宋体" w:hAnsi="宋体" w:cs="Times New Roman"/>
                <w:bCs/>
                <w:color w:val="000000"/>
                <w:kern w:val="0"/>
                <w:szCs w:val="21"/>
              </w:rPr>
              <w:t>×</w:t>
            </w:r>
          </w:p>
        </w:tc>
        <w:tc>
          <w:tcPr>
            <w:tcW w:w="1174" w:type="dxa"/>
            <w:vAlign w:val="center"/>
          </w:tcPr>
          <w:p>
            <w:pPr>
              <w:autoSpaceDE w:val="0"/>
              <w:autoSpaceDN w:val="0"/>
              <w:adjustRightInd w:val="0"/>
              <w:snapToGrid w:val="0"/>
              <w:jc w:val="center"/>
              <w:rPr>
                <w:rFonts w:ascii="宋体" w:hAnsi="宋体" w:cs="Times New Roman"/>
                <w:color w:val="000000"/>
                <w:kern w:val="0"/>
                <w:szCs w:val="21"/>
              </w:rPr>
            </w:pPr>
          </w:p>
        </w:tc>
        <w:tc>
          <w:tcPr>
            <w:tcW w:w="1031" w:type="dxa"/>
            <w:vAlign w:val="center"/>
          </w:tcPr>
          <w:p>
            <w:pPr>
              <w:autoSpaceDE w:val="0"/>
              <w:autoSpaceDN w:val="0"/>
              <w:adjustRightInd w:val="0"/>
              <w:snapToGrid w:val="0"/>
              <w:jc w:val="center"/>
              <w:rPr>
                <w:rFonts w:ascii="宋体" w:hAnsi="宋体" w:cs="Times New Roman"/>
                <w:bCs/>
                <w:color w:val="000000"/>
                <w:kern w:val="0"/>
                <w:szCs w:val="21"/>
              </w:rPr>
            </w:pPr>
          </w:p>
        </w:tc>
        <w:tc>
          <w:tcPr>
            <w:tcW w:w="1599" w:type="dxa"/>
            <w:vAlign w:val="center"/>
          </w:tcPr>
          <w:p>
            <w:pPr>
              <w:autoSpaceDE w:val="0"/>
              <w:autoSpaceDN w:val="0"/>
              <w:adjustRightInd w:val="0"/>
              <w:snapToGrid w:val="0"/>
              <w:jc w:val="center"/>
              <w:rPr>
                <w:rFonts w:ascii="宋体" w:hAnsi="宋体" w:cs="Times New Roman"/>
                <w:bCs/>
                <w:color w:val="000000"/>
                <w:kern w:val="0"/>
                <w:szCs w:val="21"/>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4473" w:type="dxa"/>
            <w:vAlign w:val="center"/>
          </w:tcPr>
          <w:p>
            <w:pPr>
              <w:autoSpaceDE w:val="0"/>
              <w:autoSpaceDN w:val="0"/>
              <w:adjustRightInd w:val="0"/>
              <w:snapToGrid w:val="0"/>
              <w:rPr>
                <w:rFonts w:ascii="宋体" w:hAnsi="宋体" w:cs="Times New Roman"/>
                <w:color w:val="000000"/>
                <w:kern w:val="0"/>
                <w:szCs w:val="21"/>
              </w:rPr>
            </w:pPr>
            <w:r>
              <w:rPr>
                <w:rFonts w:hint="eastAsia" w:ascii="宋体" w:hAnsi="宋体" w:cs="Times New Roman"/>
                <w:color w:val="000000"/>
                <w:kern w:val="0"/>
                <w:szCs w:val="21"/>
              </w:rPr>
              <w:t>两个探测器</w:t>
            </w:r>
            <w:r>
              <w:rPr>
                <w:rFonts w:hint="eastAsia" w:ascii="宋体" w:hAnsi="宋体" w:cs="Times New Roman"/>
                <w:color w:val="000000"/>
                <w:kern w:val="0"/>
                <w:szCs w:val="21"/>
                <w:vertAlign w:val="superscript"/>
              </w:rPr>
              <w:t>1）</w:t>
            </w:r>
            <w:r>
              <w:rPr>
                <w:rFonts w:hint="eastAsia" w:ascii="宋体" w:hAnsi="宋体" w:cs="Times New Roman"/>
                <w:color w:val="000000"/>
                <w:kern w:val="0"/>
                <w:szCs w:val="21"/>
              </w:rPr>
              <w:t>探测到燃料舱</w:t>
            </w:r>
            <w:r>
              <w:rPr>
                <w:rFonts w:ascii="宋体" w:hAnsi="宋体" w:cs="Times New Roman"/>
                <w:color w:val="000000"/>
                <w:kern w:val="0"/>
                <w:szCs w:val="21"/>
              </w:rPr>
              <w:t>接头处所</w:t>
            </w:r>
            <w:r>
              <w:rPr>
                <w:rFonts w:hint="eastAsia" w:ascii="宋体" w:hAnsi="宋体" w:cs="Times New Roman"/>
                <w:color w:val="000000"/>
                <w:kern w:val="0"/>
                <w:szCs w:val="21"/>
              </w:rPr>
              <w:t>内气体浓度达到40%LEL</w:t>
            </w:r>
          </w:p>
        </w:tc>
        <w:tc>
          <w:tcPr>
            <w:tcW w:w="748" w:type="dxa"/>
            <w:vAlign w:val="center"/>
          </w:tcPr>
          <w:p>
            <w:pPr>
              <w:autoSpaceDE w:val="0"/>
              <w:autoSpaceDN w:val="0"/>
              <w:adjustRightInd w:val="0"/>
              <w:snapToGrid w:val="0"/>
              <w:jc w:val="center"/>
              <w:rPr>
                <w:rFonts w:ascii="宋体" w:hAnsi="宋体" w:cs="Times New Roman"/>
                <w:color w:val="000000"/>
                <w:kern w:val="0"/>
                <w:szCs w:val="21"/>
              </w:rPr>
            </w:pPr>
            <w:r>
              <w:rPr>
                <w:rFonts w:hint="eastAsia" w:ascii="宋体" w:hAnsi="宋体" w:cs="Times New Roman"/>
                <w:bCs/>
                <w:color w:val="000000"/>
                <w:kern w:val="0"/>
                <w:szCs w:val="21"/>
              </w:rPr>
              <w:t>×</w:t>
            </w:r>
          </w:p>
        </w:tc>
        <w:tc>
          <w:tcPr>
            <w:tcW w:w="1174" w:type="dxa"/>
            <w:vAlign w:val="center"/>
          </w:tcPr>
          <w:p>
            <w:pPr>
              <w:autoSpaceDE w:val="0"/>
              <w:autoSpaceDN w:val="0"/>
              <w:adjustRightInd w:val="0"/>
              <w:snapToGrid w:val="0"/>
              <w:jc w:val="center"/>
              <w:rPr>
                <w:rFonts w:ascii="宋体" w:hAnsi="宋体" w:cs="Times New Roman"/>
                <w:color w:val="000000"/>
                <w:kern w:val="0"/>
                <w:szCs w:val="21"/>
              </w:rPr>
            </w:pPr>
            <w:r>
              <w:rPr>
                <w:rFonts w:hint="eastAsia" w:ascii="宋体" w:hAnsi="宋体" w:cs="Times New Roman"/>
                <w:bCs/>
                <w:color w:val="000000"/>
                <w:kern w:val="0"/>
                <w:szCs w:val="21"/>
              </w:rPr>
              <w:t>×</w:t>
            </w:r>
          </w:p>
        </w:tc>
        <w:tc>
          <w:tcPr>
            <w:tcW w:w="1031" w:type="dxa"/>
            <w:vAlign w:val="center"/>
          </w:tcPr>
          <w:p>
            <w:pPr>
              <w:autoSpaceDE w:val="0"/>
              <w:autoSpaceDN w:val="0"/>
              <w:adjustRightInd w:val="0"/>
              <w:snapToGrid w:val="0"/>
              <w:jc w:val="center"/>
              <w:rPr>
                <w:rFonts w:ascii="宋体" w:hAnsi="宋体" w:cs="Times New Roman"/>
                <w:bCs/>
                <w:color w:val="000000"/>
                <w:kern w:val="0"/>
                <w:szCs w:val="21"/>
              </w:rPr>
            </w:pPr>
          </w:p>
        </w:tc>
        <w:tc>
          <w:tcPr>
            <w:tcW w:w="1599" w:type="dxa"/>
            <w:vAlign w:val="center"/>
          </w:tcPr>
          <w:p>
            <w:pPr>
              <w:autoSpaceDE w:val="0"/>
              <w:autoSpaceDN w:val="0"/>
              <w:adjustRightInd w:val="0"/>
              <w:snapToGrid w:val="0"/>
              <w:jc w:val="center"/>
              <w:rPr>
                <w:rFonts w:ascii="宋体" w:hAnsi="宋体" w:cs="Times New Roman"/>
                <w:bCs/>
                <w:color w:val="000000"/>
                <w:kern w:val="0"/>
                <w:szCs w:val="21"/>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4473" w:type="dxa"/>
            <w:vAlign w:val="center"/>
          </w:tcPr>
          <w:p>
            <w:pPr>
              <w:autoSpaceDE w:val="0"/>
              <w:autoSpaceDN w:val="0"/>
              <w:adjustRightInd w:val="0"/>
              <w:snapToGrid w:val="0"/>
              <w:rPr>
                <w:rFonts w:ascii="宋体" w:hAnsi="宋体" w:cs="Times New Roman"/>
                <w:color w:val="000000"/>
                <w:kern w:val="0"/>
                <w:szCs w:val="21"/>
              </w:rPr>
            </w:pPr>
            <w:r>
              <w:rPr>
                <w:rFonts w:hint="eastAsia" w:ascii="宋体" w:hAnsi="宋体" w:cs="Times New Roman"/>
                <w:color w:val="000000"/>
                <w:kern w:val="0"/>
                <w:szCs w:val="21"/>
              </w:rPr>
              <w:t>燃料舱</w:t>
            </w:r>
            <w:r>
              <w:rPr>
                <w:rFonts w:ascii="宋体" w:hAnsi="宋体" w:cs="Times New Roman"/>
                <w:color w:val="000000"/>
                <w:kern w:val="0"/>
                <w:szCs w:val="21"/>
              </w:rPr>
              <w:t>处所内</w:t>
            </w:r>
            <w:r>
              <w:rPr>
                <w:rFonts w:hint="eastAsia" w:ascii="宋体" w:hAnsi="宋体" w:cs="Times New Roman"/>
                <w:color w:val="000000"/>
                <w:kern w:val="0"/>
                <w:szCs w:val="21"/>
              </w:rPr>
              <w:t>探测到火灾</w:t>
            </w:r>
          </w:p>
        </w:tc>
        <w:tc>
          <w:tcPr>
            <w:tcW w:w="748" w:type="dxa"/>
            <w:vAlign w:val="center"/>
          </w:tcPr>
          <w:p>
            <w:pPr>
              <w:autoSpaceDE w:val="0"/>
              <w:autoSpaceDN w:val="0"/>
              <w:adjustRightInd w:val="0"/>
              <w:snapToGrid w:val="0"/>
              <w:jc w:val="center"/>
              <w:rPr>
                <w:rFonts w:ascii="宋体" w:hAnsi="宋体" w:cs="Times New Roman"/>
                <w:color w:val="000000"/>
                <w:kern w:val="0"/>
                <w:szCs w:val="21"/>
              </w:rPr>
            </w:pPr>
            <w:r>
              <w:rPr>
                <w:rFonts w:hint="eastAsia" w:ascii="宋体" w:hAnsi="宋体" w:cs="Times New Roman"/>
                <w:bCs/>
                <w:color w:val="000000"/>
                <w:kern w:val="0"/>
                <w:szCs w:val="21"/>
              </w:rPr>
              <w:t>×</w:t>
            </w:r>
          </w:p>
        </w:tc>
        <w:tc>
          <w:tcPr>
            <w:tcW w:w="1174" w:type="dxa"/>
            <w:vAlign w:val="center"/>
          </w:tcPr>
          <w:p>
            <w:pPr>
              <w:autoSpaceDE w:val="0"/>
              <w:autoSpaceDN w:val="0"/>
              <w:adjustRightInd w:val="0"/>
              <w:snapToGrid w:val="0"/>
              <w:jc w:val="center"/>
              <w:rPr>
                <w:rFonts w:ascii="宋体" w:hAnsi="宋体" w:cs="Times New Roman"/>
                <w:color w:val="000000"/>
                <w:kern w:val="0"/>
                <w:szCs w:val="21"/>
              </w:rPr>
            </w:pPr>
          </w:p>
        </w:tc>
        <w:tc>
          <w:tcPr>
            <w:tcW w:w="1031" w:type="dxa"/>
            <w:vAlign w:val="center"/>
          </w:tcPr>
          <w:p>
            <w:pPr>
              <w:autoSpaceDE w:val="0"/>
              <w:autoSpaceDN w:val="0"/>
              <w:adjustRightInd w:val="0"/>
              <w:snapToGrid w:val="0"/>
              <w:jc w:val="center"/>
              <w:rPr>
                <w:rFonts w:ascii="宋体" w:hAnsi="宋体" w:cs="Times New Roman"/>
                <w:bCs/>
                <w:color w:val="000000"/>
                <w:kern w:val="0"/>
                <w:szCs w:val="21"/>
              </w:rPr>
            </w:pPr>
          </w:p>
        </w:tc>
        <w:tc>
          <w:tcPr>
            <w:tcW w:w="1599" w:type="dxa"/>
            <w:vAlign w:val="center"/>
          </w:tcPr>
          <w:p>
            <w:pPr>
              <w:autoSpaceDE w:val="0"/>
              <w:autoSpaceDN w:val="0"/>
              <w:adjustRightInd w:val="0"/>
              <w:snapToGrid w:val="0"/>
              <w:jc w:val="center"/>
              <w:rPr>
                <w:rFonts w:ascii="宋体" w:hAnsi="宋体" w:cs="Times New Roman"/>
                <w:bCs/>
                <w:color w:val="000000"/>
                <w:kern w:val="0"/>
                <w:szCs w:val="21"/>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4473" w:type="dxa"/>
            <w:vAlign w:val="center"/>
          </w:tcPr>
          <w:p>
            <w:pPr>
              <w:autoSpaceDE w:val="0"/>
              <w:autoSpaceDN w:val="0"/>
              <w:adjustRightInd w:val="0"/>
              <w:snapToGrid w:val="0"/>
              <w:rPr>
                <w:rFonts w:ascii="宋体" w:hAnsi="宋体" w:cs="Times New Roman"/>
                <w:color w:val="000000"/>
                <w:kern w:val="0"/>
                <w:szCs w:val="21"/>
              </w:rPr>
            </w:pPr>
            <w:r>
              <w:rPr>
                <w:rFonts w:hint="eastAsia" w:ascii="宋体" w:hAnsi="宋体" w:cs="Times New Roman"/>
                <w:strike/>
                <w:dstrike w:val="0"/>
                <w:color w:val="FF0000"/>
                <w:kern w:val="0"/>
                <w:szCs w:val="21"/>
              </w:rPr>
              <w:t>甲板以下的燃料围护系统</w:t>
            </w:r>
            <w:r>
              <w:rPr>
                <w:rFonts w:hint="eastAsia"/>
                <w:color w:val="FF0000"/>
                <w:u w:val="single"/>
              </w:rPr>
              <w:t>通向</w:t>
            </w:r>
            <w:r>
              <w:rPr>
                <w:rFonts w:hint="eastAsia"/>
                <w:color w:val="FF0000"/>
                <w:u w:val="single"/>
                <w:lang w:val="en-US" w:eastAsia="zh-CN"/>
              </w:rPr>
              <w:t>和位于</w:t>
            </w:r>
            <w:r>
              <w:rPr>
                <w:rFonts w:hint="eastAsia"/>
                <w:color w:val="FF0000"/>
                <w:u w:val="single"/>
              </w:rPr>
              <w:t>燃料舱接头处所</w:t>
            </w:r>
            <w:r>
              <w:rPr>
                <w:rFonts w:hint="eastAsia"/>
                <w:color w:val="FF0000"/>
                <w:u w:val="single"/>
                <w:lang w:val="en-US" w:eastAsia="zh-CN"/>
              </w:rPr>
              <w:t>的</w:t>
            </w:r>
            <w:r>
              <w:rPr>
                <w:rFonts w:hint="eastAsia" w:ascii="宋体" w:hAnsi="宋体" w:cs="Times New Roman"/>
                <w:color w:val="000000"/>
                <w:kern w:val="0"/>
                <w:szCs w:val="21"/>
              </w:rPr>
              <w:t>通风围阱内探测到火灾</w:t>
            </w:r>
          </w:p>
        </w:tc>
        <w:tc>
          <w:tcPr>
            <w:tcW w:w="748" w:type="dxa"/>
            <w:vAlign w:val="center"/>
          </w:tcPr>
          <w:p>
            <w:pPr>
              <w:autoSpaceDE w:val="0"/>
              <w:autoSpaceDN w:val="0"/>
              <w:adjustRightInd w:val="0"/>
              <w:snapToGrid w:val="0"/>
              <w:jc w:val="center"/>
              <w:rPr>
                <w:rFonts w:ascii="宋体" w:hAnsi="宋体" w:cs="Times New Roman"/>
                <w:bCs/>
                <w:color w:val="000000"/>
                <w:kern w:val="0"/>
                <w:szCs w:val="21"/>
              </w:rPr>
            </w:pPr>
            <w:r>
              <w:rPr>
                <w:rFonts w:hint="eastAsia" w:ascii="宋体" w:hAnsi="宋体" w:cs="Times New Roman"/>
                <w:bCs/>
                <w:color w:val="000000"/>
                <w:kern w:val="0"/>
                <w:szCs w:val="21"/>
              </w:rPr>
              <w:t>×</w:t>
            </w:r>
          </w:p>
        </w:tc>
        <w:tc>
          <w:tcPr>
            <w:tcW w:w="1174" w:type="dxa"/>
            <w:vAlign w:val="center"/>
          </w:tcPr>
          <w:p>
            <w:pPr>
              <w:autoSpaceDE w:val="0"/>
              <w:autoSpaceDN w:val="0"/>
              <w:adjustRightInd w:val="0"/>
              <w:snapToGrid w:val="0"/>
              <w:jc w:val="center"/>
              <w:rPr>
                <w:rFonts w:ascii="宋体" w:hAnsi="宋体" w:cs="Times New Roman"/>
                <w:color w:val="000000"/>
                <w:kern w:val="0"/>
                <w:szCs w:val="21"/>
              </w:rPr>
            </w:pPr>
          </w:p>
        </w:tc>
        <w:tc>
          <w:tcPr>
            <w:tcW w:w="1031" w:type="dxa"/>
            <w:vAlign w:val="center"/>
          </w:tcPr>
          <w:p>
            <w:pPr>
              <w:autoSpaceDE w:val="0"/>
              <w:autoSpaceDN w:val="0"/>
              <w:adjustRightInd w:val="0"/>
              <w:snapToGrid w:val="0"/>
              <w:jc w:val="center"/>
              <w:rPr>
                <w:rFonts w:ascii="宋体" w:hAnsi="宋体" w:cs="Times New Roman"/>
                <w:bCs/>
                <w:color w:val="000000"/>
                <w:kern w:val="0"/>
                <w:szCs w:val="21"/>
              </w:rPr>
            </w:pPr>
          </w:p>
        </w:tc>
        <w:tc>
          <w:tcPr>
            <w:tcW w:w="1599" w:type="dxa"/>
            <w:vAlign w:val="center"/>
          </w:tcPr>
          <w:p>
            <w:pPr>
              <w:autoSpaceDE w:val="0"/>
              <w:autoSpaceDN w:val="0"/>
              <w:adjustRightInd w:val="0"/>
              <w:snapToGrid w:val="0"/>
              <w:jc w:val="center"/>
              <w:rPr>
                <w:rFonts w:ascii="宋体" w:hAnsi="宋体" w:cs="Times New Roman"/>
                <w:bCs/>
                <w:color w:val="000000"/>
                <w:kern w:val="0"/>
                <w:szCs w:val="21"/>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4473" w:type="dxa"/>
            <w:vAlign w:val="center"/>
          </w:tcPr>
          <w:p>
            <w:pPr>
              <w:autoSpaceDE w:val="0"/>
              <w:autoSpaceDN w:val="0"/>
              <w:adjustRightInd w:val="0"/>
              <w:snapToGrid w:val="0"/>
              <w:rPr>
                <w:rFonts w:ascii="宋体" w:hAnsi="宋体" w:cs="Times New Roman"/>
                <w:color w:val="000000"/>
                <w:kern w:val="0"/>
                <w:szCs w:val="21"/>
              </w:rPr>
            </w:pPr>
            <w:r>
              <w:rPr>
                <w:rFonts w:hint="eastAsia" w:ascii="宋体" w:hAnsi="宋体" w:cs="Times New Roman"/>
                <w:color w:val="000000"/>
                <w:kern w:val="0"/>
                <w:szCs w:val="21"/>
              </w:rPr>
              <w:t>燃料舱接头处所内的污水阱液位高</w:t>
            </w:r>
          </w:p>
        </w:tc>
        <w:tc>
          <w:tcPr>
            <w:tcW w:w="748" w:type="dxa"/>
            <w:vAlign w:val="center"/>
          </w:tcPr>
          <w:p>
            <w:pPr>
              <w:autoSpaceDE w:val="0"/>
              <w:autoSpaceDN w:val="0"/>
              <w:adjustRightInd w:val="0"/>
              <w:snapToGrid w:val="0"/>
              <w:jc w:val="center"/>
              <w:rPr>
                <w:rFonts w:ascii="宋体" w:hAnsi="宋体" w:cs="Times New Roman"/>
                <w:bCs/>
                <w:color w:val="000000"/>
                <w:kern w:val="0"/>
                <w:szCs w:val="21"/>
              </w:rPr>
            </w:pPr>
            <w:r>
              <w:rPr>
                <w:rFonts w:hint="eastAsia" w:ascii="宋体" w:hAnsi="宋体" w:cs="Times New Roman"/>
                <w:bCs/>
                <w:color w:val="000000"/>
                <w:kern w:val="0"/>
                <w:szCs w:val="21"/>
              </w:rPr>
              <w:t>×</w:t>
            </w:r>
          </w:p>
        </w:tc>
        <w:tc>
          <w:tcPr>
            <w:tcW w:w="1174" w:type="dxa"/>
            <w:vAlign w:val="center"/>
          </w:tcPr>
          <w:p>
            <w:pPr>
              <w:autoSpaceDE w:val="0"/>
              <w:autoSpaceDN w:val="0"/>
              <w:adjustRightInd w:val="0"/>
              <w:snapToGrid w:val="0"/>
              <w:jc w:val="center"/>
              <w:rPr>
                <w:rFonts w:ascii="宋体" w:hAnsi="宋体" w:cs="Times New Roman"/>
                <w:color w:val="000000"/>
                <w:kern w:val="0"/>
                <w:szCs w:val="21"/>
              </w:rPr>
            </w:pPr>
          </w:p>
        </w:tc>
        <w:tc>
          <w:tcPr>
            <w:tcW w:w="1031" w:type="dxa"/>
            <w:vAlign w:val="center"/>
          </w:tcPr>
          <w:p>
            <w:pPr>
              <w:autoSpaceDE w:val="0"/>
              <w:autoSpaceDN w:val="0"/>
              <w:adjustRightInd w:val="0"/>
              <w:snapToGrid w:val="0"/>
              <w:jc w:val="center"/>
              <w:rPr>
                <w:rFonts w:ascii="宋体" w:hAnsi="宋体" w:cs="Times New Roman"/>
                <w:bCs/>
                <w:color w:val="000000"/>
                <w:kern w:val="0"/>
                <w:szCs w:val="21"/>
              </w:rPr>
            </w:pPr>
          </w:p>
        </w:tc>
        <w:tc>
          <w:tcPr>
            <w:tcW w:w="1599" w:type="dxa"/>
            <w:vAlign w:val="center"/>
          </w:tcPr>
          <w:p>
            <w:pPr>
              <w:autoSpaceDE w:val="0"/>
              <w:autoSpaceDN w:val="0"/>
              <w:adjustRightInd w:val="0"/>
              <w:snapToGrid w:val="0"/>
              <w:jc w:val="center"/>
              <w:rPr>
                <w:rFonts w:ascii="宋体" w:hAnsi="宋体" w:cs="Times New Roman"/>
                <w:bCs/>
                <w:color w:val="000000"/>
                <w:kern w:val="0"/>
                <w:szCs w:val="21"/>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4473" w:type="dxa"/>
            <w:vAlign w:val="center"/>
          </w:tcPr>
          <w:p>
            <w:pPr>
              <w:autoSpaceDE w:val="0"/>
              <w:autoSpaceDN w:val="0"/>
              <w:adjustRightInd w:val="0"/>
              <w:snapToGrid w:val="0"/>
              <w:rPr>
                <w:rFonts w:ascii="宋体" w:hAnsi="宋体" w:cs="Times New Roman"/>
                <w:color w:val="000000"/>
                <w:kern w:val="0"/>
                <w:szCs w:val="21"/>
              </w:rPr>
            </w:pPr>
            <w:r>
              <w:rPr>
                <w:rFonts w:hint="eastAsia" w:ascii="宋体" w:hAnsi="宋体" w:cs="Times New Roman"/>
                <w:color w:val="000000"/>
                <w:kern w:val="0"/>
                <w:szCs w:val="21"/>
              </w:rPr>
              <w:t>燃料舱接头处所内的污水阱温度低</w:t>
            </w:r>
          </w:p>
        </w:tc>
        <w:tc>
          <w:tcPr>
            <w:tcW w:w="748" w:type="dxa"/>
            <w:vAlign w:val="center"/>
          </w:tcPr>
          <w:p>
            <w:pPr>
              <w:autoSpaceDE w:val="0"/>
              <w:autoSpaceDN w:val="0"/>
              <w:adjustRightInd w:val="0"/>
              <w:snapToGrid w:val="0"/>
              <w:jc w:val="center"/>
              <w:rPr>
                <w:rFonts w:ascii="宋体" w:hAnsi="宋体" w:cs="Times New Roman"/>
                <w:bCs/>
                <w:color w:val="000000"/>
                <w:kern w:val="0"/>
                <w:szCs w:val="21"/>
              </w:rPr>
            </w:pPr>
            <w:r>
              <w:rPr>
                <w:rFonts w:hint="eastAsia" w:ascii="宋体" w:hAnsi="宋体" w:cs="Times New Roman"/>
                <w:bCs/>
                <w:color w:val="000000"/>
                <w:kern w:val="0"/>
                <w:szCs w:val="21"/>
              </w:rPr>
              <w:t>×</w:t>
            </w:r>
          </w:p>
        </w:tc>
        <w:tc>
          <w:tcPr>
            <w:tcW w:w="1174" w:type="dxa"/>
            <w:vAlign w:val="center"/>
          </w:tcPr>
          <w:p>
            <w:pPr>
              <w:autoSpaceDE w:val="0"/>
              <w:autoSpaceDN w:val="0"/>
              <w:adjustRightInd w:val="0"/>
              <w:snapToGrid w:val="0"/>
              <w:jc w:val="center"/>
              <w:rPr>
                <w:rFonts w:ascii="宋体" w:hAnsi="宋体" w:cs="Times New Roman"/>
                <w:color w:val="000000"/>
                <w:kern w:val="0"/>
                <w:szCs w:val="21"/>
              </w:rPr>
            </w:pPr>
            <w:r>
              <w:rPr>
                <w:rFonts w:hint="eastAsia" w:ascii="宋体" w:hAnsi="宋体" w:cs="Times New Roman"/>
                <w:bCs/>
                <w:color w:val="000000"/>
                <w:kern w:val="0"/>
                <w:szCs w:val="21"/>
              </w:rPr>
              <w:t>×</w:t>
            </w:r>
          </w:p>
        </w:tc>
        <w:tc>
          <w:tcPr>
            <w:tcW w:w="1031" w:type="dxa"/>
            <w:vAlign w:val="center"/>
          </w:tcPr>
          <w:p>
            <w:pPr>
              <w:autoSpaceDE w:val="0"/>
              <w:autoSpaceDN w:val="0"/>
              <w:adjustRightInd w:val="0"/>
              <w:snapToGrid w:val="0"/>
              <w:jc w:val="center"/>
              <w:rPr>
                <w:rFonts w:ascii="宋体" w:hAnsi="宋体" w:cs="Times New Roman"/>
                <w:bCs/>
                <w:color w:val="000000"/>
                <w:kern w:val="0"/>
                <w:szCs w:val="21"/>
              </w:rPr>
            </w:pPr>
          </w:p>
        </w:tc>
        <w:tc>
          <w:tcPr>
            <w:tcW w:w="1599" w:type="dxa"/>
            <w:vAlign w:val="center"/>
          </w:tcPr>
          <w:p>
            <w:pPr>
              <w:autoSpaceDE w:val="0"/>
              <w:autoSpaceDN w:val="0"/>
              <w:adjustRightInd w:val="0"/>
              <w:snapToGrid w:val="0"/>
              <w:jc w:val="center"/>
              <w:rPr>
                <w:rFonts w:ascii="宋体" w:hAnsi="宋体" w:cs="Times New Roman"/>
                <w:bCs/>
                <w:color w:val="000000"/>
                <w:kern w:val="0"/>
                <w:szCs w:val="21"/>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4473" w:type="dxa"/>
            <w:vAlign w:val="center"/>
          </w:tcPr>
          <w:p>
            <w:pPr>
              <w:autoSpaceDE w:val="0"/>
              <w:autoSpaceDN w:val="0"/>
              <w:adjustRightInd w:val="0"/>
              <w:snapToGrid w:val="0"/>
              <w:rPr>
                <w:rFonts w:ascii="宋体" w:hAnsi="宋体" w:cs="Times New Roman"/>
                <w:color w:val="000000"/>
                <w:kern w:val="0"/>
                <w:szCs w:val="21"/>
              </w:rPr>
            </w:pPr>
            <w:r>
              <w:rPr>
                <w:rFonts w:hint="eastAsia" w:ascii="宋体" w:hAnsi="宋体" w:cs="Times New Roman"/>
                <w:color w:val="000000"/>
                <w:kern w:val="0"/>
                <w:szCs w:val="21"/>
              </w:rPr>
              <w:t>燃料舱和机器处所之间的双壁管内探测到气体浓度达到20%LEL</w:t>
            </w:r>
          </w:p>
        </w:tc>
        <w:tc>
          <w:tcPr>
            <w:tcW w:w="748" w:type="dxa"/>
            <w:vAlign w:val="center"/>
          </w:tcPr>
          <w:p>
            <w:pPr>
              <w:autoSpaceDE w:val="0"/>
              <w:autoSpaceDN w:val="0"/>
              <w:adjustRightInd w:val="0"/>
              <w:snapToGrid w:val="0"/>
              <w:jc w:val="center"/>
              <w:rPr>
                <w:rFonts w:ascii="宋体" w:hAnsi="宋体" w:cs="Times New Roman"/>
                <w:color w:val="000000"/>
                <w:kern w:val="0"/>
                <w:szCs w:val="21"/>
              </w:rPr>
            </w:pPr>
            <w:r>
              <w:rPr>
                <w:rFonts w:hint="eastAsia" w:ascii="宋体" w:hAnsi="宋体" w:cs="Times New Roman"/>
                <w:bCs/>
                <w:color w:val="000000"/>
                <w:kern w:val="0"/>
                <w:szCs w:val="21"/>
              </w:rPr>
              <w:t>×</w:t>
            </w:r>
          </w:p>
        </w:tc>
        <w:tc>
          <w:tcPr>
            <w:tcW w:w="1174" w:type="dxa"/>
            <w:vAlign w:val="center"/>
          </w:tcPr>
          <w:p>
            <w:pPr>
              <w:autoSpaceDE w:val="0"/>
              <w:autoSpaceDN w:val="0"/>
              <w:adjustRightInd w:val="0"/>
              <w:snapToGrid w:val="0"/>
              <w:jc w:val="center"/>
              <w:rPr>
                <w:rFonts w:ascii="宋体" w:hAnsi="宋体" w:cs="Times New Roman"/>
                <w:color w:val="000000"/>
                <w:kern w:val="0"/>
                <w:szCs w:val="21"/>
              </w:rPr>
            </w:pPr>
          </w:p>
        </w:tc>
        <w:tc>
          <w:tcPr>
            <w:tcW w:w="1031" w:type="dxa"/>
            <w:vAlign w:val="center"/>
          </w:tcPr>
          <w:p>
            <w:pPr>
              <w:autoSpaceDE w:val="0"/>
              <w:autoSpaceDN w:val="0"/>
              <w:adjustRightInd w:val="0"/>
              <w:snapToGrid w:val="0"/>
              <w:jc w:val="center"/>
              <w:rPr>
                <w:rFonts w:ascii="宋体" w:hAnsi="宋体" w:cs="Times New Roman"/>
                <w:bCs/>
                <w:color w:val="000000"/>
                <w:kern w:val="0"/>
                <w:szCs w:val="21"/>
              </w:rPr>
            </w:pPr>
          </w:p>
        </w:tc>
        <w:tc>
          <w:tcPr>
            <w:tcW w:w="1599" w:type="dxa"/>
            <w:vAlign w:val="center"/>
          </w:tcPr>
          <w:p>
            <w:pPr>
              <w:autoSpaceDE w:val="0"/>
              <w:autoSpaceDN w:val="0"/>
              <w:adjustRightInd w:val="0"/>
              <w:snapToGrid w:val="0"/>
              <w:jc w:val="center"/>
              <w:rPr>
                <w:rFonts w:ascii="宋体" w:hAnsi="宋体" w:cs="Times New Roman"/>
                <w:bCs/>
                <w:color w:val="000000"/>
                <w:kern w:val="0"/>
                <w:szCs w:val="21"/>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4473" w:type="dxa"/>
            <w:vAlign w:val="center"/>
          </w:tcPr>
          <w:p>
            <w:pPr>
              <w:autoSpaceDE w:val="0"/>
              <w:autoSpaceDN w:val="0"/>
              <w:adjustRightInd w:val="0"/>
              <w:snapToGrid w:val="0"/>
              <w:rPr>
                <w:rFonts w:ascii="宋体" w:hAnsi="宋体" w:cs="Times New Roman"/>
                <w:color w:val="000000"/>
                <w:kern w:val="0"/>
                <w:szCs w:val="21"/>
              </w:rPr>
            </w:pPr>
            <w:r>
              <w:rPr>
                <w:rFonts w:hint="eastAsia" w:ascii="宋体" w:hAnsi="宋体" w:cs="Times New Roman"/>
                <w:color w:val="000000"/>
                <w:kern w:val="0"/>
                <w:szCs w:val="21"/>
              </w:rPr>
              <w:t>两个探测器</w:t>
            </w:r>
            <w:r>
              <w:rPr>
                <w:rFonts w:hint="eastAsia" w:ascii="宋体" w:hAnsi="宋体" w:cs="Times New Roman"/>
                <w:color w:val="000000"/>
                <w:kern w:val="0"/>
                <w:szCs w:val="21"/>
                <w:vertAlign w:val="superscript"/>
              </w:rPr>
              <w:t>1）</w:t>
            </w:r>
            <w:r>
              <w:rPr>
                <w:rFonts w:hint="eastAsia" w:ascii="宋体" w:hAnsi="宋体" w:cs="Times New Roman"/>
                <w:color w:val="000000"/>
                <w:kern w:val="0"/>
                <w:szCs w:val="21"/>
              </w:rPr>
              <w:t>探测到燃料舱和机器处所之间的双壁管内气体浓度高于40%LEL</w:t>
            </w:r>
          </w:p>
        </w:tc>
        <w:tc>
          <w:tcPr>
            <w:tcW w:w="748" w:type="dxa"/>
            <w:vAlign w:val="center"/>
          </w:tcPr>
          <w:p>
            <w:pPr>
              <w:autoSpaceDE w:val="0"/>
              <w:autoSpaceDN w:val="0"/>
              <w:adjustRightInd w:val="0"/>
              <w:snapToGrid w:val="0"/>
              <w:jc w:val="center"/>
              <w:rPr>
                <w:rFonts w:ascii="宋体" w:hAnsi="宋体" w:cs="Times New Roman"/>
                <w:color w:val="000000"/>
                <w:kern w:val="0"/>
                <w:szCs w:val="21"/>
              </w:rPr>
            </w:pPr>
            <w:r>
              <w:rPr>
                <w:rFonts w:hint="eastAsia" w:ascii="宋体" w:hAnsi="宋体" w:cs="Times New Roman"/>
                <w:bCs/>
                <w:color w:val="000000"/>
                <w:kern w:val="0"/>
                <w:szCs w:val="21"/>
              </w:rPr>
              <w:t>×</w:t>
            </w:r>
          </w:p>
        </w:tc>
        <w:tc>
          <w:tcPr>
            <w:tcW w:w="1174" w:type="dxa"/>
            <w:vAlign w:val="center"/>
          </w:tcPr>
          <w:p>
            <w:pPr>
              <w:autoSpaceDE w:val="0"/>
              <w:autoSpaceDN w:val="0"/>
              <w:adjustRightInd w:val="0"/>
              <w:snapToGrid w:val="0"/>
              <w:jc w:val="center"/>
              <w:rPr>
                <w:rFonts w:ascii="宋体" w:hAnsi="宋体" w:cs="Times New Roman"/>
                <w:color w:val="000000"/>
                <w:kern w:val="0"/>
                <w:szCs w:val="21"/>
              </w:rPr>
            </w:pPr>
            <w:r>
              <w:rPr>
                <w:rFonts w:hint="eastAsia" w:ascii="宋体" w:hAnsi="宋体" w:cs="Times New Roman"/>
                <w:bCs/>
                <w:color w:val="000000"/>
                <w:kern w:val="0"/>
                <w:szCs w:val="21"/>
              </w:rPr>
              <w:t>×</w:t>
            </w:r>
            <w:r>
              <w:rPr>
                <w:rFonts w:hint="eastAsia" w:ascii="宋体" w:hAnsi="宋体" w:cs="Times New Roman"/>
                <w:bCs/>
                <w:color w:val="000000"/>
                <w:kern w:val="0"/>
                <w:szCs w:val="21"/>
                <w:vertAlign w:val="superscript"/>
              </w:rPr>
              <w:t>2）</w:t>
            </w:r>
          </w:p>
        </w:tc>
        <w:tc>
          <w:tcPr>
            <w:tcW w:w="1031" w:type="dxa"/>
            <w:vAlign w:val="center"/>
          </w:tcPr>
          <w:p>
            <w:pPr>
              <w:autoSpaceDE w:val="0"/>
              <w:autoSpaceDN w:val="0"/>
              <w:adjustRightInd w:val="0"/>
              <w:snapToGrid w:val="0"/>
              <w:jc w:val="center"/>
              <w:rPr>
                <w:rFonts w:ascii="宋体" w:hAnsi="宋体" w:cs="Times New Roman"/>
                <w:bCs/>
                <w:color w:val="000000"/>
                <w:kern w:val="0"/>
                <w:szCs w:val="21"/>
              </w:rPr>
            </w:pPr>
          </w:p>
        </w:tc>
        <w:tc>
          <w:tcPr>
            <w:tcW w:w="1599" w:type="dxa"/>
            <w:vAlign w:val="center"/>
          </w:tcPr>
          <w:p>
            <w:pPr>
              <w:autoSpaceDE w:val="0"/>
              <w:autoSpaceDN w:val="0"/>
              <w:adjustRightInd w:val="0"/>
              <w:snapToGrid w:val="0"/>
              <w:jc w:val="center"/>
              <w:rPr>
                <w:rFonts w:ascii="宋体" w:hAnsi="宋体" w:cs="Times New Roman"/>
                <w:bCs/>
                <w:color w:val="000000"/>
                <w:kern w:val="0"/>
                <w:szCs w:val="21"/>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4473" w:type="dxa"/>
            <w:vAlign w:val="center"/>
          </w:tcPr>
          <w:p>
            <w:pPr>
              <w:autoSpaceDE w:val="0"/>
              <w:autoSpaceDN w:val="0"/>
              <w:adjustRightInd w:val="0"/>
              <w:snapToGrid w:val="0"/>
              <w:rPr>
                <w:rFonts w:ascii="宋体" w:hAnsi="宋体" w:cs="Times New Roman"/>
                <w:color w:val="000000"/>
                <w:kern w:val="0"/>
                <w:szCs w:val="21"/>
              </w:rPr>
            </w:pPr>
            <w:r>
              <w:rPr>
                <w:rFonts w:hint="eastAsia" w:ascii="宋体" w:hAnsi="宋体" w:cs="Times New Roman"/>
                <w:color w:val="000000"/>
                <w:kern w:val="0"/>
                <w:szCs w:val="21"/>
              </w:rPr>
              <w:t>燃料准备间内探测到气体浓度达到20%LEL</w:t>
            </w:r>
          </w:p>
        </w:tc>
        <w:tc>
          <w:tcPr>
            <w:tcW w:w="748" w:type="dxa"/>
            <w:vAlign w:val="center"/>
          </w:tcPr>
          <w:p>
            <w:pPr>
              <w:autoSpaceDE w:val="0"/>
              <w:autoSpaceDN w:val="0"/>
              <w:adjustRightInd w:val="0"/>
              <w:snapToGrid w:val="0"/>
              <w:jc w:val="center"/>
              <w:rPr>
                <w:rFonts w:ascii="宋体" w:hAnsi="宋体" w:cs="Times New Roman"/>
                <w:color w:val="000000"/>
                <w:kern w:val="0"/>
                <w:szCs w:val="21"/>
              </w:rPr>
            </w:pPr>
            <w:r>
              <w:rPr>
                <w:rFonts w:hint="eastAsia" w:ascii="宋体" w:hAnsi="宋体" w:cs="Times New Roman"/>
                <w:bCs/>
                <w:color w:val="000000"/>
                <w:kern w:val="0"/>
                <w:szCs w:val="21"/>
              </w:rPr>
              <w:t>×</w:t>
            </w:r>
          </w:p>
        </w:tc>
        <w:tc>
          <w:tcPr>
            <w:tcW w:w="1174" w:type="dxa"/>
            <w:vAlign w:val="center"/>
          </w:tcPr>
          <w:p>
            <w:pPr>
              <w:autoSpaceDE w:val="0"/>
              <w:autoSpaceDN w:val="0"/>
              <w:adjustRightInd w:val="0"/>
              <w:snapToGrid w:val="0"/>
              <w:jc w:val="center"/>
              <w:rPr>
                <w:rFonts w:ascii="宋体" w:hAnsi="宋体" w:cs="Times New Roman"/>
                <w:color w:val="000000"/>
                <w:kern w:val="0"/>
                <w:szCs w:val="21"/>
              </w:rPr>
            </w:pPr>
          </w:p>
        </w:tc>
        <w:tc>
          <w:tcPr>
            <w:tcW w:w="1031" w:type="dxa"/>
            <w:vAlign w:val="center"/>
          </w:tcPr>
          <w:p>
            <w:pPr>
              <w:autoSpaceDE w:val="0"/>
              <w:autoSpaceDN w:val="0"/>
              <w:adjustRightInd w:val="0"/>
              <w:snapToGrid w:val="0"/>
              <w:jc w:val="center"/>
              <w:rPr>
                <w:rFonts w:ascii="宋体" w:hAnsi="宋体" w:cs="Times New Roman"/>
                <w:bCs/>
                <w:color w:val="000000"/>
                <w:kern w:val="0"/>
                <w:szCs w:val="21"/>
              </w:rPr>
            </w:pPr>
          </w:p>
        </w:tc>
        <w:tc>
          <w:tcPr>
            <w:tcW w:w="1599" w:type="dxa"/>
            <w:vAlign w:val="center"/>
          </w:tcPr>
          <w:p>
            <w:pPr>
              <w:autoSpaceDE w:val="0"/>
              <w:autoSpaceDN w:val="0"/>
              <w:adjustRightInd w:val="0"/>
              <w:snapToGrid w:val="0"/>
              <w:jc w:val="center"/>
              <w:rPr>
                <w:rFonts w:ascii="宋体" w:hAnsi="宋体" w:cs="Times New Roman"/>
                <w:bCs/>
                <w:color w:val="000000"/>
                <w:kern w:val="0"/>
                <w:szCs w:val="21"/>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4473" w:type="dxa"/>
            <w:vAlign w:val="center"/>
          </w:tcPr>
          <w:p>
            <w:pPr>
              <w:autoSpaceDE w:val="0"/>
              <w:autoSpaceDN w:val="0"/>
              <w:adjustRightInd w:val="0"/>
              <w:snapToGrid w:val="0"/>
              <w:rPr>
                <w:rFonts w:ascii="宋体" w:hAnsi="宋体" w:cs="Times New Roman"/>
                <w:color w:val="000000"/>
                <w:kern w:val="0"/>
                <w:szCs w:val="21"/>
              </w:rPr>
            </w:pPr>
            <w:r>
              <w:rPr>
                <w:rFonts w:hint="eastAsia" w:ascii="宋体" w:hAnsi="宋体" w:cs="Times New Roman"/>
                <w:color w:val="000000"/>
                <w:kern w:val="0"/>
                <w:szCs w:val="21"/>
              </w:rPr>
              <w:t>两个探测器</w:t>
            </w:r>
            <w:r>
              <w:rPr>
                <w:rFonts w:hint="eastAsia" w:ascii="宋体" w:hAnsi="宋体" w:cs="Times New Roman"/>
                <w:color w:val="000000"/>
                <w:kern w:val="0"/>
                <w:szCs w:val="21"/>
                <w:vertAlign w:val="superscript"/>
              </w:rPr>
              <w:t>1）</w:t>
            </w:r>
            <w:r>
              <w:rPr>
                <w:rFonts w:hint="eastAsia" w:ascii="宋体" w:hAnsi="宋体" w:cs="Times New Roman"/>
                <w:color w:val="000000"/>
                <w:kern w:val="0"/>
                <w:szCs w:val="21"/>
              </w:rPr>
              <w:t>探测到燃料准备间气体浓度达到40%LEL</w:t>
            </w:r>
          </w:p>
        </w:tc>
        <w:tc>
          <w:tcPr>
            <w:tcW w:w="748" w:type="dxa"/>
            <w:vAlign w:val="center"/>
          </w:tcPr>
          <w:p>
            <w:pPr>
              <w:autoSpaceDE w:val="0"/>
              <w:autoSpaceDN w:val="0"/>
              <w:adjustRightInd w:val="0"/>
              <w:snapToGrid w:val="0"/>
              <w:jc w:val="center"/>
              <w:rPr>
                <w:rFonts w:ascii="宋体" w:hAnsi="宋体" w:cs="Times New Roman"/>
                <w:bCs/>
                <w:color w:val="000000"/>
                <w:kern w:val="0"/>
                <w:szCs w:val="21"/>
              </w:rPr>
            </w:pPr>
            <w:r>
              <w:rPr>
                <w:rFonts w:hint="eastAsia" w:ascii="宋体" w:hAnsi="宋体" w:cs="Times New Roman"/>
                <w:bCs/>
                <w:color w:val="000000"/>
                <w:kern w:val="0"/>
                <w:szCs w:val="21"/>
              </w:rPr>
              <w:t>×</w:t>
            </w:r>
          </w:p>
        </w:tc>
        <w:tc>
          <w:tcPr>
            <w:tcW w:w="1174" w:type="dxa"/>
            <w:vAlign w:val="center"/>
          </w:tcPr>
          <w:p>
            <w:pPr>
              <w:autoSpaceDE w:val="0"/>
              <w:autoSpaceDN w:val="0"/>
              <w:adjustRightInd w:val="0"/>
              <w:snapToGrid w:val="0"/>
              <w:jc w:val="center"/>
              <w:rPr>
                <w:rFonts w:ascii="宋体" w:hAnsi="宋体" w:cs="Times New Roman"/>
                <w:bCs/>
                <w:color w:val="000000"/>
                <w:kern w:val="0"/>
                <w:szCs w:val="21"/>
              </w:rPr>
            </w:pPr>
            <w:r>
              <w:rPr>
                <w:rFonts w:hint="eastAsia" w:ascii="宋体" w:hAnsi="宋体" w:cs="Times New Roman"/>
                <w:bCs/>
                <w:color w:val="000000"/>
                <w:kern w:val="0"/>
                <w:szCs w:val="21"/>
              </w:rPr>
              <w:t>×</w:t>
            </w:r>
            <w:r>
              <w:rPr>
                <w:rFonts w:hint="eastAsia" w:ascii="宋体" w:hAnsi="宋体" w:cs="Times New Roman"/>
                <w:bCs/>
                <w:color w:val="000000"/>
                <w:kern w:val="0"/>
                <w:szCs w:val="21"/>
                <w:vertAlign w:val="superscript"/>
              </w:rPr>
              <w:t>2）</w:t>
            </w:r>
          </w:p>
        </w:tc>
        <w:tc>
          <w:tcPr>
            <w:tcW w:w="1031" w:type="dxa"/>
            <w:vAlign w:val="center"/>
          </w:tcPr>
          <w:p>
            <w:pPr>
              <w:autoSpaceDE w:val="0"/>
              <w:autoSpaceDN w:val="0"/>
              <w:adjustRightInd w:val="0"/>
              <w:snapToGrid w:val="0"/>
              <w:jc w:val="center"/>
              <w:rPr>
                <w:rFonts w:ascii="宋体" w:hAnsi="宋体" w:cs="Times New Roman"/>
                <w:bCs/>
                <w:color w:val="000000"/>
                <w:kern w:val="0"/>
                <w:szCs w:val="21"/>
              </w:rPr>
            </w:pPr>
          </w:p>
        </w:tc>
        <w:tc>
          <w:tcPr>
            <w:tcW w:w="1599" w:type="dxa"/>
            <w:vAlign w:val="center"/>
          </w:tcPr>
          <w:p>
            <w:pPr>
              <w:autoSpaceDE w:val="0"/>
              <w:autoSpaceDN w:val="0"/>
              <w:adjustRightInd w:val="0"/>
              <w:snapToGrid w:val="0"/>
              <w:jc w:val="center"/>
              <w:rPr>
                <w:rFonts w:ascii="宋体" w:hAnsi="宋体" w:cs="Times New Roman"/>
                <w:bCs/>
                <w:color w:val="000000"/>
                <w:kern w:val="0"/>
                <w:szCs w:val="21"/>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4473" w:type="dxa"/>
            <w:vAlign w:val="center"/>
          </w:tcPr>
          <w:p>
            <w:pPr>
              <w:autoSpaceDE w:val="0"/>
              <w:autoSpaceDN w:val="0"/>
              <w:adjustRightInd w:val="0"/>
              <w:snapToGrid w:val="0"/>
              <w:rPr>
                <w:rFonts w:ascii="宋体" w:hAnsi="宋体" w:cs="Times New Roman"/>
                <w:color w:val="000000"/>
                <w:kern w:val="0"/>
                <w:szCs w:val="21"/>
              </w:rPr>
            </w:pPr>
            <w:r>
              <w:rPr>
                <w:rFonts w:hint="eastAsia" w:ascii="宋体" w:hAnsi="宋体" w:cs="Times New Roman"/>
                <w:color w:val="000000"/>
                <w:kern w:val="0"/>
                <w:szCs w:val="21"/>
              </w:rPr>
              <w:t>含有气体燃料发动机的</w:t>
            </w:r>
            <w:r>
              <w:rPr>
                <w:rFonts w:ascii="宋体" w:hAnsi="宋体" w:cs="Times New Roman"/>
                <w:color w:val="000000"/>
                <w:kern w:val="0"/>
                <w:szCs w:val="21"/>
              </w:rPr>
              <w:t>机器处所内的</w:t>
            </w:r>
            <w:r>
              <w:rPr>
                <w:rFonts w:hint="eastAsia" w:ascii="宋体" w:hAnsi="宋体" w:cs="Times New Roman"/>
                <w:color w:val="000000"/>
                <w:kern w:val="0"/>
                <w:szCs w:val="21"/>
              </w:rPr>
              <w:t>通风导管中探测到气体浓度达到30%LEL</w:t>
            </w:r>
          </w:p>
        </w:tc>
        <w:tc>
          <w:tcPr>
            <w:tcW w:w="748" w:type="dxa"/>
            <w:vAlign w:val="center"/>
          </w:tcPr>
          <w:p>
            <w:pPr>
              <w:autoSpaceDE w:val="0"/>
              <w:autoSpaceDN w:val="0"/>
              <w:adjustRightInd w:val="0"/>
              <w:snapToGrid w:val="0"/>
              <w:jc w:val="center"/>
              <w:rPr>
                <w:rFonts w:ascii="宋体" w:hAnsi="宋体" w:cs="Times New Roman"/>
                <w:bCs/>
                <w:color w:val="000000"/>
                <w:kern w:val="0"/>
                <w:szCs w:val="21"/>
              </w:rPr>
            </w:pPr>
            <w:r>
              <w:rPr>
                <w:rFonts w:hint="eastAsia" w:ascii="宋体" w:hAnsi="宋体" w:cs="Times New Roman"/>
                <w:bCs/>
                <w:color w:val="000000"/>
                <w:kern w:val="0"/>
                <w:szCs w:val="21"/>
              </w:rPr>
              <w:t>×</w:t>
            </w:r>
          </w:p>
        </w:tc>
        <w:tc>
          <w:tcPr>
            <w:tcW w:w="1174" w:type="dxa"/>
            <w:vAlign w:val="center"/>
          </w:tcPr>
          <w:p>
            <w:pPr>
              <w:autoSpaceDE w:val="0"/>
              <w:autoSpaceDN w:val="0"/>
              <w:adjustRightInd w:val="0"/>
              <w:snapToGrid w:val="0"/>
              <w:jc w:val="center"/>
              <w:rPr>
                <w:rFonts w:ascii="宋体" w:hAnsi="宋体" w:cs="Times New Roman"/>
                <w:bCs/>
                <w:color w:val="000000"/>
                <w:kern w:val="0"/>
                <w:szCs w:val="21"/>
              </w:rPr>
            </w:pPr>
          </w:p>
        </w:tc>
        <w:tc>
          <w:tcPr>
            <w:tcW w:w="1031" w:type="dxa"/>
            <w:vAlign w:val="center"/>
          </w:tcPr>
          <w:p>
            <w:pPr>
              <w:autoSpaceDE w:val="0"/>
              <w:autoSpaceDN w:val="0"/>
              <w:adjustRightInd w:val="0"/>
              <w:snapToGrid w:val="0"/>
              <w:jc w:val="center"/>
              <w:rPr>
                <w:rFonts w:ascii="宋体" w:hAnsi="宋体" w:cs="Times New Roman"/>
                <w:bCs/>
                <w:color w:val="000000"/>
                <w:kern w:val="0"/>
                <w:szCs w:val="21"/>
              </w:rPr>
            </w:pPr>
          </w:p>
        </w:tc>
        <w:tc>
          <w:tcPr>
            <w:tcW w:w="1599" w:type="dxa"/>
            <w:vAlign w:val="center"/>
          </w:tcPr>
          <w:p>
            <w:pPr>
              <w:autoSpaceDE w:val="0"/>
              <w:autoSpaceDN w:val="0"/>
              <w:adjustRightInd w:val="0"/>
              <w:snapToGrid w:val="0"/>
              <w:jc w:val="center"/>
              <w:rPr>
                <w:rFonts w:ascii="宋体" w:hAnsi="宋体" w:cs="Times New Roman"/>
                <w:bCs/>
                <w:color w:val="000000"/>
                <w:kern w:val="0"/>
                <w:szCs w:val="21"/>
              </w:rPr>
            </w:pPr>
            <w:r>
              <w:rPr>
                <w:rFonts w:hint="eastAsia" w:ascii="宋体" w:hAnsi="宋体" w:cs="Times New Roman"/>
                <w:bCs/>
                <w:color w:val="000000"/>
                <w:kern w:val="0"/>
                <w:szCs w:val="21"/>
              </w:rPr>
              <w:t>如</w:t>
            </w:r>
            <w:r>
              <w:rPr>
                <w:rFonts w:hint="eastAsia" w:ascii="宋体" w:hAnsi="宋体" w:cs="Times New Roman"/>
                <w:color w:val="000000"/>
                <w:kern w:val="0"/>
                <w:szCs w:val="21"/>
              </w:rPr>
              <w:t>含有气体燃料发动机的</w:t>
            </w:r>
            <w:r>
              <w:rPr>
                <w:rFonts w:hint="eastAsia" w:ascii="宋体" w:hAnsi="宋体" w:cs="Times New Roman"/>
                <w:bCs/>
                <w:color w:val="000000"/>
                <w:kern w:val="0"/>
                <w:szCs w:val="21"/>
              </w:rPr>
              <w:t>机器处所内设有双壁管</w:t>
            </w: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4473" w:type="dxa"/>
            <w:vAlign w:val="center"/>
          </w:tcPr>
          <w:p>
            <w:pPr>
              <w:autoSpaceDE w:val="0"/>
              <w:autoSpaceDN w:val="0"/>
              <w:adjustRightInd w:val="0"/>
              <w:snapToGrid w:val="0"/>
              <w:rPr>
                <w:rFonts w:ascii="宋体" w:hAnsi="宋体" w:cs="Times New Roman"/>
                <w:color w:val="000000"/>
                <w:kern w:val="0"/>
                <w:szCs w:val="21"/>
              </w:rPr>
            </w:pPr>
            <w:r>
              <w:rPr>
                <w:rFonts w:hint="eastAsia" w:ascii="宋体" w:hAnsi="宋体" w:cs="Times New Roman"/>
                <w:color w:val="000000"/>
                <w:kern w:val="0"/>
                <w:szCs w:val="21"/>
              </w:rPr>
              <w:t>两个探测器</w:t>
            </w:r>
            <w:r>
              <w:rPr>
                <w:rFonts w:hint="eastAsia" w:ascii="宋体" w:hAnsi="宋体" w:cs="Times New Roman"/>
                <w:color w:val="000000"/>
                <w:kern w:val="0"/>
                <w:szCs w:val="21"/>
                <w:vertAlign w:val="superscript"/>
              </w:rPr>
              <w:t>1）</w:t>
            </w:r>
            <w:r>
              <w:rPr>
                <w:rFonts w:hint="eastAsia" w:ascii="宋体" w:hAnsi="宋体" w:cs="Times New Roman"/>
                <w:color w:val="000000"/>
                <w:kern w:val="0"/>
                <w:szCs w:val="21"/>
              </w:rPr>
              <w:t>探测到含有气体燃料发动机的</w:t>
            </w:r>
            <w:r>
              <w:rPr>
                <w:rFonts w:ascii="宋体" w:hAnsi="宋体" w:cs="Times New Roman"/>
                <w:color w:val="000000"/>
                <w:kern w:val="0"/>
                <w:szCs w:val="21"/>
              </w:rPr>
              <w:t>机器处所内的</w:t>
            </w:r>
            <w:r>
              <w:rPr>
                <w:rFonts w:hint="eastAsia" w:ascii="宋体" w:hAnsi="宋体" w:cs="Times New Roman"/>
                <w:color w:val="000000"/>
                <w:kern w:val="0"/>
                <w:szCs w:val="21"/>
              </w:rPr>
              <w:t>通风导管中气体浓度达到60%LEL</w:t>
            </w:r>
          </w:p>
        </w:tc>
        <w:tc>
          <w:tcPr>
            <w:tcW w:w="748" w:type="dxa"/>
            <w:vAlign w:val="center"/>
          </w:tcPr>
          <w:p>
            <w:pPr>
              <w:autoSpaceDE w:val="0"/>
              <w:autoSpaceDN w:val="0"/>
              <w:adjustRightInd w:val="0"/>
              <w:snapToGrid w:val="0"/>
              <w:jc w:val="center"/>
              <w:rPr>
                <w:rFonts w:ascii="宋体" w:hAnsi="宋体" w:cs="Times New Roman"/>
                <w:bCs/>
                <w:color w:val="000000"/>
                <w:kern w:val="0"/>
                <w:szCs w:val="21"/>
              </w:rPr>
            </w:pPr>
            <w:r>
              <w:rPr>
                <w:rFonts w:hint="eastAsia" w:ascii="宋体" w:hAnsi="宋体" w:cs="Times New Roman"/>
                <w:bCs/>
                <w:color w:val="000000"/>
                <w:kern w:val="0"/>
                <w:szCs w:val="21"/>
              </w:rPr>
              <w:t>×</w:t>
            </w:r>
          </w:p>
        </w:tc>
        <w:tc>
          <w:tcPr>
            <w:tcW w:w="1174" w:type="dxa"/>
            <w:vAlign w:val="center"/>
          </w:tcPr>
          <w:p>
            <w:pPr>
              <w:autoSpaceDE w:val="0"/>
              <w:autoSpaceDN w:val="0"/>
              <w:adjustRightInd w:val="0"/>
              <w:snapToGrid w:val="0"/>
              <w:jc w:val="center"/>
              <w:rPr>
                <w:rFonts w:ascii="宋体" w:hAnsi="宋体" w:cs="Times New Roman"/>
                <w:bCs/>
                <w:color w:val="000000"/>
                <w:kern w:val="0"/>
                <w:szCs w:val="21"/>
              </w:rPr>
            </w:pPr>
          </w:p>
        </w:tc>
        <w:tc>
          <w:tcPr>
            <w:tcW w:w="1031" w:type="dxa"/>
            <w:vAlign w:val="center"/>
          </w:tcPr>
          <w:p>
            <w:pPr>
              <w:autoSpaceDE w:val="0"/>
              <w:autoSpaceDN w:val="0"/>
              <w:adjustRightInd w:val="0"/>
              <w:snapToGrid w:val="0"/>
              <w:jc w:val="center"/>
              <w:rPr>
                <w:rFonts w:ascii="宋体" w:hAnsi="宋体" w:cs="Times New Roman"/>
                <w:bCs/>
                <w:color w:val="000000"/>
                <w:kern w:val="0"/>
                <w:szCs w:val="21"/>
              </w:rPr>
            </w:pPr>
            <w:r>
              <w:rPr>
                <w:rFonts w:hint="eastAsia" w:ascii="宋体" w:hAnsi="宋体" w:cs="Times New Roman"/>
                <w:bCs/>
                <w:color w:val="000000"/>
                <w:kern w:val="0"/>
                <w:szCs w:val="21"/>
              </w:rPr>
              <w:t>×</w:t>
            </w:r>
            <w:r>
              <w:rPr>
                <w:rFonts w:ascii="宋体" w:hAnsi="宋体" w:cs="Times New Roman"/>
                <w:bCs/>
                <w:color w:val="000000"/>
                <w:kern w:val="0"/>
                <w:szCs w:val="21"/>
                <w:vertAlign w:val="superscript"/>
              </w:rPr>
              <w:t>3</w:t>
            </w:r>
            <w:r>
              <w:rPr>
                <w:rFonts w:hint="eastAsia" w:ascii="宋体" w:hAnsi="宋体" w:cs="Times New Roman"/>
                <w:bCs/>
                <w:color w:val="000000"/>
                <w:kern w:val="0"/>
                <w:szCs w:val="21"/>
                <w:vertAlign w:val="superscript"/>
              </w:rPr>
              <w:t>）</w:t>
            </w:r>
          </w:p>
        </w:tc>
        <w:tc>
          <w:tcPr>
            <w:tcW w:w="1599" w:type="dxa"/>
            <w:vAlign w:val="center"/>
          </w:tcPr>
          <w:p>
            <w:pPr>
              <w:autoSpaceDE w:val="0"/>
              <w:autoSpaceDN w:val="0"/>
              <w:adjustRightInd w:val="0"/>
              <w:snapToGrid w:val="0"/>
              <w:jc w:val="center"/>
              <w:rPr>
                <w:rFonts w:ascii="宋体" w:hAnsi="宋体" w:cs="Times New Roman"/>
                <w:bCs/>
                <w:color w:val="000000"/>
                <w:kern w:val="0"/>
                <w:szCs w:val="21"/>
              </w:rPr>
            </w:pPr>
            <w:r>
              <w:rPr>
                <w:rFonts w:hint="eastAsia" w:ascii="宋体" w:hAnsi="宋体" w:cs="Times New Roman"/>
                <w:bCs/>
                <w:color w:val="000000"/>
                <w:kern w:val="0"/>
                <w:szCs w:val="21"/>
              </w:rPr>
              <w:t>如机器处所内设有双壁管</w:t>
            </w: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4473" w:type="dxa"/>
            <w:vAlign w:val="center"/>
          </w:tcPr>
          <w:p>
            <w:pPr>
              <w:autoSpaceDE w:val="0"/>
              <w:autoSpaceDN w:val="0"/>
              <w:adjustRightInd w:val="0"/>
              <w:snapToGrid w:val="0"/>
              <w:rPr>
                <w:rFonts w:ascii="宋体" w:hAnsi="宋体" w:cs="Times New Roman"/>
                <w:color w:val="000000"/>
                <w:kern w:val="0"/>
                <w:szCs w:val="21"/>
              </w:rPr>
            </w:pPr>
            <w:r>
              <w:rPr>
                <w:rFonts w:hint="eastAsia" w:ascii="宋体" w:hAnsi="宋体" w:cs="Times New Roman"/>
                <w:color w:val="000000"/>
                <w:kern w:val="0"/>
                <w:szCs w:val="21"/>
              </w:rPr>
              <w:t>含有气体燃料发动机的E</w:t>
            </w:r>
            <w:r>
              <w:rPr>
                <w:rFonts w:ascii="宋体" w:hAnsi="宋体" w:cs="Times New Roman"/>
                <w:color w:val="000000"/>
                <w:kern w:val="0"/>
                <w:szCs w:val="21"/>
              </w:rPr>
              <w:t>SD</w:t>
            </w:r>
            <w:r>
              <w:rPr>
                <w:rFonts w:hint="eastAsia" w:ascii="宋体" w:hAnsi="宋体" w:cs="Times New Roman"/>
                <w:color w:val="000000"/>
                <w:kern w:val="0"/>
                <w:szCs w:val="21"/>
              </w:rPr>
              <w:t>防护型机器处所内探测到气体浓度达到20%LEL</w:t>
            </w:r>
          </w:p>
        </w:tc>
        <w:tc>
          <w:tcPr>
            <w:tcW w:w="748" w:type="dxa"/>
            <w:vAlign w:val="center"/>
          </w:tcPr>
          <w:p>
            <w:pPr>
              <w:autoSpaceDE w:val="0"/>
              <w:autoSpaceDN w:val="0"/>
              <w:adjustRightInd w:val="0"/>
              <w:snapToGrid w:val="0"/>
              <w:jc w:val="center"/>
              <w:rPr>
                <w:rFonts w:ascii="宋体" w:hAnsi="宋体" w:cs="Times New Roman"/>
                <w:color w:val="000000"/>
                <w:kern w:val="0"/>
                <w:szCs w:val="21"/>
              </w:rPr>
            </w:pPr>
            <w:r>
              <w:rPr>
                <w:rFonts w:hint="eastAsia" w:ascii="宋体" w:hAnsi="宋体" w:cs="Times New Roman"/>
                <w:bCs/>
                <w:color w:val="000000"/>
                <w:kern w:val="0"/>
                <w:szCs w:val="21"/>
              </w:rPr>
              <w:t>×</w:t>
            </w:r>
          </w:p>
        </w:tc>
        <w:tc>
          <w:tcPr>
            <w:tcW w:w="1174" w:type="dxa"/>
            <w:vAlign w:val="center"/>
          </w:tcPr>
          <w:p>
            <w:pPr>
              <w:autoSpaceDE w:val="0"/>
              <w:autoSpaceDN w:val="0"/>
              <w:adjustRightInd w:val="0"/>
              <w:snapToGrid w:val="0"/>
              <w:jc w:val="center"/>
              <w:rPr>
                <w:rFonts w:ascii="宋体" w:hAnsi="宋体" w:cs="Times New Roman"/>
                <w:color w:val="000000"/>
                <w:kern w:val="0"/>
                <w:szCs w:val="21"/>
              </w:rPr>
            </w:pPr>
          </w:p>
        </w:tc>
        <w:tc>
          <w:tcPr>
            <w:tcW w:w="1031" w:type="dxa"/>
            <w:vAlign w:val="center"/>
          </w:tcPr>
          <w:p>
            <w:pPr>
              <w:autoSpaceDE w:val="0"/>
              <w:autoSpaceDN w:val="0"/>
              <w:adjustRightInd w:val="0"/>
              <w:snapToGrid w:val="0"/>
              <w:jc w:val="center"/>
              <w:rPr>
                <w:rFonts w:ascii="宋体" w:hAnsi="宋体" w:cs="Times New Roman"/>
                <w:bCs/>
                <w:color w:val="000000"/>
                <w:kern w:val="0"/>
                <w:szCs w:val="21"/>
              </w:rPr>
            </w:pPr>
          </w:p>
        </w:tc>
        <w:tc>
          <w:tcPr>
            <w:tcW w:w="1599" w:type="dxa"/>
            <w:vAlign w:val="center"/>
          </w:tcPr>
          <w:p>
            <w:pPr>
              <w:autoSpaceDE w:val="0"/>
              <w:autoSpaceDN w:val="0"/>
              <w:adjustRightInd w:val="0"/>
              <w:snapToGrid w:val="0"/>
              <w:jc w:val="center"/>
              <w:rPr>
                <w:rFonts w:ascii="宋体" w:hAnsi="宋体" w:cs="Times New Roman"/>
                <w:bCs/>
                <w:color w:val="000000"/>
                <w:kern w:val="0"/>
                <w:szCs w:val="21"/>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4473" w:type="dxa"/>
            <w:vAlign w:val="center"/>
          </w:tcPr>
          <w:p>
            <w:pPr>
              <w:autoSpaceDE w:val="0"/>
              <w:autoSpaceDN w:val="0"/>
              <w:adjustRightInd w:val="0"/>
              <w:snapToGrid w:val="0"/>
              <w:rPr>
                <w:rFonts w:ascii="宋体" w:hAnsi="宋体" w:cs="Times New Roman"/>
                <w:color w:val="000000"/>
                <w:kern w:val="0"/>
                <w:szCs w:val="21"/>
              </w:rPr>
            </w:pPr>
            <w:r>
              <w:rPr>
                <w:rFonts w:hint="eastAsia" w:ascii="宋体" w:hAnsi="宋体" w:cs="Times New Roman"/>
                <w:color w:val="000000"/>
                <w:kern w:val="0"/>
                <w:szCs w:val="21"/>
              </w:rPr>
              <w:t>两个探测器</w:t>
            </w:r>
            <w:r>
              <w:rPr>
                <w:rFonts w:hint="eastAsia" w:ascii="宋体" w:hAnsi="宋体" w:cs="Times New Roman"/>
                <w:color w:val="000000"/>
                <w:kern w:val="0"/>
                <w:szCs w:val="21"/>
                <w:vertAlign w:val="superscript"/>
              </w:rPr>
              <w:t>1）</w:t>
            </w:r>
            <w:r>
              <w:rPr>
                <w:rFonts w:hint="eastAsia" w:ascii="宋体" w:hAnsi="宋体" w:cs="Times New Roman"/>
                <w:color w:val="000000"/>
                <w:kern w:val="0"/>
                <w:szCs w:val="21"/>
              </w:rPr>
              <w:t>探测到含有气体燃料发动机的E</w:t>
            </w:r>
            <w:r>
              <w:rPr>
                <w:rFonts w:ascii="宋体" w:hAnsi="宋体" w:cs="Times New Roman"/>
                <w:color w:val="000000"/>
                <w:kern w:val="0"/>
                <w:szCs w:val="21"/>
              </w:rPr>
              <w:t>SD</w:t>
            </w:r>
            <w:r>
              <w:rPr>
                <w:rFonts w:hint="eastAsia" w:ascii="宋体" w:hAnsi="宋体" w:cs="Times New Roman"/>
                <w:color w:val="000000"/>
                <w:kern w:val="0"/>
                <w:szCs w:val="21"/>
              </w:rPr>
              <w:t>防护型机器处所气体浓度达到40%LEL</w:t>
            </w:r>
          </w:p>
        </w:tc>
        <w:tc>
          <w:tcPr>
            <w:tcW w:w="748" w:type="dxa"/>
            <w:vAlign w:val="center"/>
          </w:tcPr>
          <w:p>
            <w:pPr>
              <w:autoSpaceDE w:val="0"/>
              <w:autoSpaceDN w:val="0"/>
              <w:adjustRightInd w:val="0"/>
              <w:snapToGrid w:val="0"/>
              <w:jc w:val="center"/>
              <w:rPr>
                <w:rFonts w:ascii="宋体" w:hAnsi="宋体" w:cs="Times New Roman"/>
                <w:color w:val="000000"/>
                <w:kern w:val="0"/>
                <w:szCs w:val="21"/>
              </w:rPr>
            </w:pPr>
            <w:r>
              <w:rPr>
                <w:rFonts w:hint="eastAsia" w:ascii="宋体" w:hAnsi="宋体" w:cs="Times New Roman"/>
                <w:bCs/>
                <w:color w:val="000000"/>
                <w:kern w:val="0"/>
                <w:szCs w:val="21"/>
              </w:rPr>
              <w:t>×</w:t>
            </w:r>
          </w:p>
        </w:tc>
        <w:tc>
          <w:tcPr>
            <w:tcW w:w="1174" w:type="dxa"/>
            <w:vAlign w:val="center"/>
          </w:tcPr>
          <w:p>
            <w:pPr>
              <w:autoSpaceDE w:val="0"/>
              <w:autoSpaceDN w:val="0"/>
              <w:adjustRightInd w:val="0"/>
              <w:snapToGrid w:val="0"/>
              <w:jc w:val="center"/>
              <w:rPr>
                <w:rFonts w:ascii="宋体" w:hAnsi="宋体" w:cs="Times New Roman"/>
                <w:color w:val="000000"/>
                <w:kern w:val="0"/>
                <w:szCs w:val="21"/>
              </w:rPr>
            </w:pPr>
          </w:p>
        </w:tc>
        <w:tc>
          <w:tcPr>
            <w:tcW w:w="1031" w:type="dxa"/>
            <w:vAlign w:val="center"/>
          </w:tcPr>
          <w:p>
            <w:pPr>
              <w:autoSpaceDE w:val="0"/>
              <w:autoSpaceDN w:val="0"/>
              <w:adjustRightInd w:val="0"/>
              <w:snapToGrid w:val="0"/>
              <w:jc w:val="center"/>
              <w:rPr>
                <w:rFonts w:ascii="宋体" w:hAnsi="宋体" w:cs="Times New Roman"/>
                <w:bCs/>
                <w:color w:val="000000"/>
                <w:kern w:val="0"/>
                <w:szCs w:val="21"/>
              </w:rPr>
            </w:pPr>
            <w:r>
              <w:rPr>
                <w:rFonts w:hint="eastAsia" w:ascii="宋体" w:hAnsi="宋体" w:cs="Times New Roman"/>
                <w:bCs/>
                <w:color w:val="000000"/>
                <w:kern w:val="0"/>
                <w:szCs w:val="21"/>
              </w:rPr>
              <w:t>×</w:t>
            </w:r>
          </w:p>
        </w:tc>
        <w:tc>
          <w:tcPr>
            <w:tcW w:w="1599" w:type="dxa"/>
            <w:vAlign w:val="center"/>
          </w:tcPr>
          <w:p>
            <w:pPr>
              <w:autoSpaceDE w:val="0"/>
              <w:autoSpaceDN w:val="0"/>
              <w:adjustRightInd w:val="0"/>
              <w:snapToGrid w:val="0"/>
              <w:jc w:val="center"/>
              <w:rPr>
                <w:rFonts w:ascii="宋体" w:hAnsi="宋体" w:cs="Times New Roman"/>
                <w:bCs/>
                <w:color w:val="000000"/>
                <w:kern w:val="0"/>
                <w:szCs w:val="21"/>
              </w:rPr>
            </w:pPr>
            <w:r>
              <w:rPr>
                <w:rFonts w:hint="eastAsia" w:ascii="宋体" w:hAnsi="宋体" w:cs="Times New Roman"/>
                <w:bCs/>
                <w:color w:val="000000"/>
                <w:kern w:val="0"/>
                <w:szCs w:val="21"/>
              </w:rPr>
              <w:t>还应断开</w:t>
            </w:r>
            <w:r>
              <w:rPr>
                <w:rFonts w:hint="eastAsia" w:ascii="宋体" w:hAnsi="宋体" w:cs="Times New Roman"/>
                <w:color w:val="000000"/>
                <w:kern w:val="0"/>
                <w:szCs w:val="21"/>
              </w:rPr>
              <w:t>机器处所内非合格</w:t>
            </w:r>
            <w:r>
              <w:rPr>
                <w:rFonts w:ascii="宋体" w:hAnsi="宋体" w:cs="Times New Roman"/>
                <w:color w:val="000000"/>
                <w:kern w:val="0"/>
                <w:szCs w:val="21"/>
              </w:rPr>
              <w:t>防爆型</w:t>
            </w:r>
            <w:r>
              <w:rPr>
                <w:rFonts w:hint="eastAsia" w:ascii="宋体" w:hAnsi="宋体" w:cs="Times New Roman"/>
                <w:color w:val="000000"/>
                <w:kern w:val="0"/>
                <w:szCs w:val="21"/>
              </w:rPr>
              <w:t>电气</w:t>
            </w:r>
            <w:r>
              <w:rPr>
                <w:rFonts w:ascii="宋体" w:hAnsi="宋体" w:cs="Times New Roman"/>
                <w:color w:val="000000"/>
                <w:kern w:val="0"/>
                <w:szCs w:val="21"/>
              </w:rPr>
              <w:t>设备</w:t>
            </w: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4473" w:type="dxa"/>
            <w:vAlign w:val="center"/>
          </w:tcPr>
          <w:p>
            <w:pPr>
              <w:autoSpaceDE w:val="0"/>
              <w:autoSpaceDN w:val="0"/>
              <w:adjustRightInd w:val="0"/>
              <w:snapToGrid w:val="0"/>
              <w:rPr>
                <w:rFonts w:ascii="宋体" w:hAnsi="宋体" w:cs="Times New Roman"/>
                <w:color w:val="000000"/>
                <w:kern w:val="0"/>
                <w:szCs w:val="21"/>
              </w:rPr>
            </w:pPr>
            <w:r>
              <w:rPr>
                <w:rFonts w:hint="eastAsia" w:ascii="宋体" w:hAnsi="宋体" w:cs="Times New Roman"/>
                <w:color w:val="000000"/>
                <w:kern w:val="0"/>
                <w:szCs w:val="21"/>
              </w:rPr>
              <w:t>燃料</w:t>
            </w:r>
            <w:r>
              <w:rPr>
                <w:rFonts w:ascii="宋体" w:hAnsi="宋体" w:cs="Times New Roman"/>
                <w:color w:val="000000"/>
                <w:kern w:val="0"/>
                <w:szCs w:val="21"/>
              </w:rPr>
              <w:t>舱和</w:t>
            </w:r>
            <w:r>
              <w:rPr>
                <w:rFonts w:hint="eastAsia" w:ascii="宋体" w:hAnsi="宋体" w:cs="Times New Roman"/>
                <w:color w:val="000000"/>
                <w:kern w:val="0"/>
                <w:szCs w:val="21"/>
              </w:rPr>
              <w:t>含有气体燃料发动机的</w:t>
            </w:r>
            <w:r>
              <w:rPr>
                <w:rFonts w:ascii="宋体" w:hAnsi="宋体" w:cs="Times New Roman"/>
                <w:color w:val="000000"/>
                <w:kern w:val="0"/>
                <w:szCs w:val="21"/>
              </w:rPr>
              <w:t>机器处</w:t>
            </w:r>
            <w:r>
              <w:rPr>
                <w:rFonts w:hint="eastAsia" w:ascii="宋体" w:hAnsi="宋体" w:cs="Times New Roman"/>
                <w:color w:val="000000"/>
                <w:kern w:val="0"/>
                <w:szCs w:val="21"/>
              </w:rPr>
              <w:t>所之</w:t>
            </w:r>
            <w:r>
              <w:rPr>
                <w:rFonts w:ascii="宋体" w:hAnsi="宋体" w:cs="Times New Roman"/>
                <w:color w:val="000000"/>
                <w:kern w:val="0"/>
                <w:szCs w:val="21"/>
              </w:rPr>
              <w:t>间的双壁管</w:t>
            </w:r>
            <w:r>
              <w:rPr>
                <w:rFonts w:hint="eastAsia" w:ascii="宋体" w:hAnsi="宋体" w:cs="Times New Roman"/>
                <w:color w:val="000000"/>
                <w:kern w:val="0"/>
                <w:szCs w:val="21"/>
              </w:rPr>
              <w:t>内</w:t>
            </w:r>
            <w:r>
              <w:rPr>
                <w:rFonts w:ascii="宋体" w:hAnsi="宋体" w:cs="Times New Roman"/>
                <w:color w:val="000000"/>
                <w:kern w:val="0"/>
                <w:szCs w:val="21"/>
              </w:rPr>
              <w:t>通风</w:t>
            </w:r>
            <w:r>
              <w:rPr>
                <w:rFonts w:hint="eastAsia" w:ascii="宋体" w:hAnsi="宋体" w:cs="Times New Roman"/>
                <w:color w:val="000000"/>
                <w:kern w:val="0"/>
                <w:szCs w:val="21"/>
              </w:rPr>
              <w:t>失效</w:t>
            </w:r>
          </w:p>
        </w:tc>
        <w:tc>
          <w:tcPr>
            <w:tcW w:w="748" w:type="dxa"/>
            <w:vAlign w:val="center"/>
          </w:tcPr>
          <w:p>
            <w:pPr>
              <w:autoSpaceDE w:val="0"/>
              <w:autoSpaceDN w:val="0"/>
              <w:adjustRightInd w:val="0"/>
              <w:snapToGrid w:val="0"/>
              <w:jc w:val="center"/>
              <w:rPr>
                <w:rFonts w:ascii="宋体" w:hAnsi="宋体" w:cs="Times New Roman"/>
                <w:color w:val="000000"/>
                <w:kern w:val="0"/>
                <w:szCs w:val="21"/>
              </w:rPr>
            </w:pPr>
            <w:r>
              <w:rPr>
                <w:rFonts w:hint="eastAsia" w:ascii="宋体" w:hAnsi="宋体" w:cs="Times New Roman"/>
                <w:bCs/>
                <w:color w:val="000000"/>
                <w:kern w:val="0"/>
                <w:szCs w:val="21"/>
              </w:rPr>
              <w:t>×</w:t>
            </w:r>
          </w:p>
        </w:tc>
        <w:tc>
          <w:tcPr>
            <w:tcW w:w="1174" w:type="dxa"/>
            <w:vAlign w:val="center"/>
          </w:tcPr>
          <w:p>
            <w:pPr>
              <w:autoSpaceDE w:val="0"/>
              <w:autoSpaceDN w:val="0"/>
              <w:adjustRightInd w:val="0"/>
              <w:snapToGrid w:val="0"/>
              <w:jc w:val="center"/>
              <w:rPr>
                <w:rFonts w:ascii="宋体" w:hAnsi="宋体" w:cs="Times New Roman"/>
                <w:color w:val="000000"/>
                <w:kern w:val="0"/>
                <w:szCs w:val="21"/>
              </w:rPr>
            </w:pPr>
          </w:p>
        </w:tc>
        <w:tc>
          <w:tcPr>
            <w:tcW w:w="1031" w:type="dxa"/>
            <w:vAlign w:val="center"/>
          </w:tcPr>
          <w:p>
            <w:pPr>
              <w:autoSpaceDE w:val="0"/>
              <w:autoSpaceDN w:val="0"/>
              <w:adjustRightInd w:val="0"/>
              <w:snapToGrid w:val="0"/>
              <w:jc w:val="center"/>
              <w:rPr>
                <w:rFonts w:ascii="宋体" w:hAnsi="宋体" w:cs="Times New Roman"/>
                <w:bCs/>
                <w:color w:val="000000"/>
                <w:kern w:val="0"/>
                <w:szCs w:val="21"/>
              </w:rPr>
            </w:pPr>
            <w:r>
              <w:rPr>
                <w:rFonts w:hint="eastAsia" w:ascii="宋体" w:hAnsi="宋体" w:cs="Times New Roman"/>
                <w:bCs/>
                <w:color w:val="000000"/>
                <w:kern w:val="0"/>
                <w:szCs w:val="21"/>
              </w:rPr>
              <w:t>×</w:t>
            </w:r>
            <w:r>
              <w:rPr>
                <w:rFonts w:hint="eastAsia" w:ascii="宋体" w:hAnsi="宋体" w:cs="Times New Roman"/>
                <w:bCs/>
                <w:color w:val="000000"/>
                <w:kern w:val="0"/>
                <w:szCs w:val="21"/>
                <w:vertAlign w:val="superscript"/>
              </w:rPr>
              <w:t>2）</w:t>
            </w:r>
          </w:p>
        </w:tc>
        <w:tc>
          <w:tcPr>
            <w:tcW w:w="1599" w:type="dxa"/>
            <w:vAlign w:val="center"/>
          </w:tcPr>
          <w:p>
            <w:pPr>
              <w:autoSpaceDE w:val="0"/>
              <w:autoSpaceDN w:val="0"/>
              <w:adjustRightInd w:val="0"/>
              <w:snapToGrid w:val="0"/>
              <w:jc w:val="center"/>
              <w:rPr>
                <w:rFonts w:ascii="宋体" w:hAnsi="宋体" w:cs="Times New Roman"/>
                <w:bCs/>
                <w:color w:val="000000"/>
                <w:kern w:val="0"/>
                <w:szCs w:val="21"/>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4473" w:type="dxa"/>
            <w:vAlign w:val="center"/>
          </w:tcPr>
          <w:p>
            <w:pPr>
              <w:autoSpaceDE w:val="0"/>
              <w:autoSpaceDN w:val="0"/>
              <w:adjustRightInd w:val="0"/>
              <w:snapToGrid w:val="0"/>
              <w:rPr>
                <w:rFonts w:ascii="宋体" w:hAnsi="宋体" w:cs="Times New Roman"/>
                <w:color w:val="000000"/>
                <w:kern w:val="0"/>
                <w:szCs w:val="21"/>
              </w:rPr>
            </w:pPr>
            <w:r>
              <w:rPr>
                <w:rFonts w:hint="eastAsia" w:ascii="宋体" w:hAnsi="宋体" w:cs="Times New Roman"/>
                <w:color w:val="000000"/>
                <w:kern w:val="0"/>
                <w:szCs w:val="21"/>
              </w:rPr>
              <w:t>含有气体燃料发动机的</w:t>
            </w:r>
            <w:r>
              <w:rPr>
                <w:rFonts w:ascii="宋体" w:hAnsi="宋体" w:cs="Times New Roman"/>
                <w:color w:val="000000"/>
                <w:kern w:val="0"/>
                <w:szCs w:val="21"/>
              </w:rPr>
              <w:t>机器处所内的</w:t>
            </w:r>
            <w:r>
              <w:rPr>
                <w:rFonts w:hint="eastAsia" w:ascii="宋体" w:hAnsi="宋体" w:cs="Times New Roman"/>
                <w:color w:val="000000"/>
                <w:kern w:val="0"/>
                <w:szCs w:val="21"/>
              </w:rPr>
              <w:t>双壁管（通风导管）内通风</w:t>
            </w:r>
            <w:r>
              <w:rPr>
                <w:rFonts w:ascii="宋体" w:hAnsi="宋体" w:cs="Times New Roman"/>
                <w:color w:val="000000"/>
                <w:kern w:val="0"/>
                <w:szCs w:val="21"/>
              </w:rPr>
              <w:t>失效</w:t>
            </w:r>
            <w:r>
              <w:rPr>
                <w:rFonts w:hint="eastAsia" w:ascii="宋体" w:hAnsi="宋体" w:cs="Times New Roman"/>
                <w:color w:val="000000"/>
                <w:kern w:val="0"/>
                <w:szCs w:val="21"/>
                <w:vertAlign w:val="superscript"/>
              </w:rPr>
              <w:t>5）</w:t>
            </w:r>
          </w:p>
        </w:tc>
        <w:tc>
          <w:tcPr>
            <w:tcW w:w="748" w:type="dxa"/>
            <w:vAlign w:val="center"/>
          </w:tcPr>
          <w:p>
            <w:pPr>
              <w:autoSpaceDE w:val="0"/>
              <w:autoSpaceDN w:val="0"/>
              <w:adjustRightInd w:val="0"/>
              <w:snapToGrid w:val="0"/>
              <w:jc w:val="center"/>
              <w:rPr>
                <w:rFonts w:ascii="宋体" w:hAnsi="宋体" w:cs="Times New Roman"/>
                <w:color w:val="000000"/>
                <w:kern w:val="0"/>
                <w:szCs w:val="21"/>
              </w:rPr>
            </w:pPr>
            <w:r>
              <w:rPr>
                <w:rFonts w:hint="eastAsia" w:ascii="宋体" w:hAnsi="宋体" w:cs="Times New Roman"/>
                <w:bCs/>
                <w:color w:val="000000"/>
                <w:kern w:val="0"/>
                <w:szCs w:val="21"/>
              </w:rPr>
              <w:t>×</w:t>
            </w:r>
          </w:p>
        </w:tc>
        <w:tc>
          <w:tcPr>
            <w:tcW w:w="1174" w:type="dxa"/>
            <w:vAlign w:val="center"/>
          </w:tcPr>
          <w:p>
            <w:pPr>
              <w:autoSpaceDE w:val="0"/>
              <w:autoSpaceDN w:val="0"/>
              <w:adjustRightInd w:val="0"/>
              <w:snapToGrid w:val="0"/>
              <w:jc w:val="center"/>
              <w:rPr>
                <w:rFonts w:ascii="宋体" w:hAnsi="宋体" w:cs="Times New Roman"/>
                <w:color w:val="000000"/>
                <w:kern w:val="0"/>
                <w:szCs w:val="21"/>
              </w:rPr>
            </w:pPr>
          </w:p>
        </w:tc>
        <w:tc>
          <w:tcPr>
            <w:tcW w:w="1031" w:type="dxa"/>
            <w:vAlign w:val="center"/>
          </w:tcPr>
          <w:p>
            <w:pPr>
              <w:autoSpaceDE w:val="0"/>
              <w:autoSpaceDN w:val="0"/>
              <w:adjustRightInd w:val="0"/>
              <w:snapToGrid w:val="0"/>
              <w:jc w:val="center"/>
              <w:rPr>
                <w:rFonts w:ascii="宋体" w:hAnsi="宋体" w:cs="Times New Roman"/>
                <w:bCs/>
                <w:color w:val="000000"/>
                <w:kern w:val="0"/>
                <w:szCs w:val="21"/>
              </w:rPr>
            </w:pPr>
            <w:r>
              <w:rPr>
                <w:rFonts w:hint="eastAsia" w:ascii="宋体" w:hAnsi="宋体" w:cs="Times New Roman"/>
                <w:bCs/>
                <w:color w:val="000000"/>
                <w:kern w:val="0"/>
                <w:szCs w:val="21"/>
              </w:rPr>
              <w:t>×</w:t>
            </w:r>
            <w:r>
              <w:rPr>
                <w:rFonts w:ascii="宋体" w:hAnsi="宋体" w:cs="Times New Roman"/>
                <w:bCs/>
                <w:color w:val="000000"/>
                <w:kern w:val="0"/>
                <w:szCs w:val="21"/>
                <w:vertAlign w:val="superscript"/>
              </w:rPr>
              <w:t>3</w:t>
            </w:r>
            <w:r>
              <w:rPr>
                <w:rFonts w:hint="eastAsia" w:ascii="宋体" w:hAnsi="宋体" w:cs="Times New Roman"/>
                <w:bCs/>
                <w:color w:val="000000"/>
                <w:kern w:val="0"/>
                <w:szCs w:val="21"/>
                <w:vertAlign w:val="superscript"/>
              </w:rPr>
              <w:t>）</w:t>
            </w:r>
          </w:p>
        </w:tc>
        <w:tc>
          <w:tcPr>
            <w:tcW w:w="1599" w:type="dxa"/>
            <w:vAlign w:val="center"/>
          </w:tcPr>
          <w:p>
            <w:pPr>
              <w:autoSpaceDE w:val="0"/>
              <w:autoSpaceDN w:val="0"/>
              <w:adjustRightInd w:val="0"/>
              <w:snapToGrid w:val="0"/>
              <w:jc w:val="center"/>
              <w:rPr>
                <w:rFonts w:ascii="宋体" w:hAnsi="宋体" w:cs="Times New Roman"/>
                <w:bCs/>
                <w:color w:val="000000"/>
                <w:kern w:val="0"/>
                <w:szCs w:val="21"/>
              </w:rPr>
            </w:pPr>
            <w:r>
              <w:rPr>
                <w:rFonts w:hint="eastAsia" w:ascii="宋体" w:hAnsi="宋体" w:cs="Times New Roman"/>
                <w:bCs/>
                <w:color w:val="000000"/>
                <w:kern w:val="0"/>
                <w:szCs w:val="21"/>
              </w:rPr>
              <w:t>如</w:t>
            </w:r>
            <w:r>
              <w:rPr>
                <w:rFonts w:hint="eastAsia" w:ascii="宋体" w:hAnsi="宋体" w:cs="Times New Roman"/>
                <w:color w:val="000000"/>
                <w:kern w:val="0"/>
                <w:szCs w:val="21"/>
              </w:rPr>
              <w:t>含有气体燃料发动机的</w:t>
            </w:r>
            <w:r>
              <w:rPr>
                <w:rFonts w:hint="eastAsia" w:ascii="宋体" w:hAnsi="宋体" w:cs="Times New Roman"/>
                <w:bCs/>
                <w:color w:val="000000"/>
                <w:kern w:val="0"/>
                <w:szCs w:val="21"/>
              </w:rPr>
              <w:t>机器处所内设有双壁管</w:t>
            </w: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4473" w:type="dxa"/>
            <w:vAlign w:val="center"/>
          </w:tcPr>
          <w:p>
            <w:pPr>
              <w:autoSpaceDE w:val="0"/>
              <w:autoSpaceDN w:val="0"/>
              <w:adjustRightInd w:val="0"/>
              <w:snapToGrid w:val="0"/>
              <w:rPr>
                <w:rFonts w:ascii="宋体" w:hAnsi="宋体" w:cs="Times New Roman"/>
                <w:color w:val="000000"/>
                <w:kern w:val="0"/>
                <w:szCs w:val="21"/>
              </w:rPr>
            </w:pPr>
            <w:r>
              <w:rPr>
                <w:rFonts w:hint="eastAsia" w:ascii="宋体" w:hAnsi="宋体" w:cs="Times New Roman"/>
                <w:color w:val="000000"/>
                <w:kern w:val="0"/>
                <w:szCs w:val="21"/>
              </w:rPr>
              <w:t>含有气体燃料发动机的E</w:t>
            </w:r>
            <w:r>
              <w:rPr>
                <w:rFonts w:ascii="宋体" w:hAnsi="宋体" w:cs="Times New Roman"/>
                <w:color w:val="000000"/>
                <w:kern w:val="0"/>
                <w:szCs w:val="21"/>
              </w:rPr>
              <w:t>SD</w:t>
            </w:r>
            <w:r>
              <w:rPr>
                <w:rFonts w:hint="eastAsia" w:ascii="宋体" w:hAnsi="宋体" w:cs="Times New Roman"/>
                <w:color w:val="000000"/>
                <w:kern w:val="0"/>
                <w:szCs w:val="21"/>
              </w:rPr>
              <w:t>防护型机器</w:t>
            </w:r>
            <w:r>
              <w:rPr>
                <w:rFonts w:ascii="宋体" w:hAnsi="宋体" w:cs="Times New Roman"/>
                <w:color w:val="000000"/>
                <w:kern w:val="0"/>
                <w:szCs w:val="21"/>
              </w:rPr>
              <w:t>处所</w:t>
            </w:r>
            <w:r>
              <w:rPr>
                <w:rFonts w:hint="eastAsia" w:ascii="宋体" w:hAnsi="宋体" w:cs="Times New Roman"/>
                <w:color w:val="000000"/>
                <w:kern w:val="0"/>
                <w:szCs w:val="21"/>
              </w:rPr>
              <w:t>内通风</w:t>
            </w:r>
            <w:r>
              <w:rPr>
                <w:rFonts w:ascii="宋体" w:hAnsi="宋体" w:cs="Times New Roman"/>
                <w:color w:val="000000"/>
                <w:kern w:val="0"/>
                <w:szCs w:val="21"/>
              </w:rPr>
              <w:t>失效</w:t>
            </w:r>
          </w:p>
        </w:tc>
        <w:tc>
          <w:tcPr>
            <w:tcW w:w="748" w:type="dxa"/>
            <w:vAlign w:val="center"/>
          </w:tcPr>
          <w:p>
            <w:pPr>
              <w:autoSpaceDE w:val="0"/>
              <w:autoSpaceDN w:val="0"/>
              <w:adjustRightInd w:val="0"/>
              <w:snapToGrid w:val="0"/>
              <w:jc w:val="center"/>
              <w:rPr>
                <w:rFonts w:ascii="宋体" w:hAnsi="宋体" w:cs="Times New Roman"/>
                <w:color w:val="000000"/>
                <w:kern w:val="0"/>
                <w:szCs w:val="21"/>
              </w:rPr>
            </w:pPr>
            <w:r>
              <w:rPr>
                <w:rFonts w:hint="eastAsia" w:ascii="宋体" w:hAnsi="宋体" w:cs="Times New Roman"/>
                <w:bCs/>
                <w:color w:val="000000"/>
                <w:kern w:val="0"/>
                <w:szCs w:val="21"/>
              </w:rPr>
              <w:t>×</w:t>
            </w:r>
          </w:p>
        </w:tc>
        <w:tc>
          <w:tcPr>
            <w:tcW w:w="1174" w:type="dxa"/>
            <w:vAlign w:val="center"/>
          </w:tcPr>
          <w:p>
            <w:pPr>
              <w:autoSpaceDE w:val="0"/>
              <w:autoSpaceDN w:val="0"/>
              <w:adjustRightInd w:val="0"/>
              <w:snapToGrid w:val="0"/>
              <w:jc w:val="center"/>
              <w:rPr>
                <w:rFonts w:ascii="宋体" w:hAnsi="宋体" w:cs="Times New Roman"/>
                <w:color w:val="000000"/>
                <w:kern w:val="0"/>
                <w:szCs w:val="21"/>
              </w:rPr>
            </w:pPr>
          </w:p>
        </w:tc>
        <w:tc>
          <w:tcPr>
            <w:tcW w:w="1031" w:type="dxa"/>
            <w:vAlign w:val="center"/>
          </w:tcPr>
          <w:p>
            <w:pPr>
              <w:autoSpaceDE w:val="0"/>
              <w:autoSpaceDN w:val="0"/>
              <w:adjustRightInd w:val="0"/>
              <w:snapToGrid w:val="0"/>
              <w:jc w:val="center"/>
              <w:rPr>
                <w:rFonts w:ascii="宋体" w:hAnsi="宋体" w:cs="Times New Roman"/>
                <w:bCs/>
                <w:color w:val="000000"/>
                <w:kern w:val="0"/>
                <w:szCs w:val="21"/>
              </w:rPr>
            </w:pPr>
            <w:r>
              <w:rPr>
                <w:rFonts w:hint="eastAsia" w:ascii="宋体" w:hAnsi="宋体" w:cs="Times New Roman"/>
                <w:bCs/>
                <w:color w:val="000000"/>
                <w:kern w:val="0"/>
                <w:szCs w:val="21"/>
              </w:rPr>
              <w:t>×</w:t>
            </w:r>
          </w:p>
        </w:tc>
        <w:tc>
          <w:tcPr>
            <w:tcW w:w="1599" w:type="dxa"/>
            <w:vAlign w:val="center"/>
          </w:tcPr>
          <w:p>
            <w:pPr>
              <w:autoSpaceDE w:val="0"/>
              <w:autoSpaceDN w:val="0"/>
              <w:adjustRightInd w:val="0"/>
              <w:snapToGrid w:val="0"/>
              <w:jc w:val="center"/>
              <w:rPr>
                <w:rFonts w:ascii="宋体" w:hAnsi="宋体" w:cs="Times New Roman"/>
                <w:bCs/>
                <w:color w:val="000000"/>
                <w:kern w:val="0"/>
                <w:szCs w:val="21"/>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4473" w:type="dxa"/>
            <w:vAlign w:val="center"/>
          </w:tcPr>
          <w:p>
            <w:pPr>
              <w:autoSpaceDE w:val="0"/>
              <w:autoSpaceDN w:val="0"/>
              <w:adjustRightInd w:val="0"/>
              <w:snapToGrid w:val="0"/>
              <w:rPr>
                <w:rFonts w:ascii="宋体" w:hAnsi="宋体" w:cs="Times New Roman"/>
                <w:color w:val="000000"/>
                <w:kern w:val="0"/>
                <w:szCs w:val="21"/>
              </w:rPr>
            </w:pPr>
            <w:r>
              <w:rPr>
                <w:rFonts w:hint="eastAsia" w:ascii="宋体" w:hAnsi="宋体" w:cs="Times New Roman"/>
                <w:color w:val="000000"/>
                <w:kern w:val="0"/>
                <w:szCs w:val="21"/>
              </w:rPr>
              <w:t>含有气体燃料发动机的机器处所内探测到火灾</w:t>
            </w:r>
          </w:p>
        </w:tc>
        <w:tc>
          <w:tcPr>
            <w:tcW w:w="748" w:type="dxa"/>
            <w:vAlign w:val="center"/>
          </w:tcPr>
          <w:p>
            <w:pPr>
              <w:autoSpaceDE w:val="0"/>
              <w:autoSpaceDN w:val="0"/>
              <w:adjustRightInd w:val="0"/>
              <w:snapToGrid w:val="0"/>
              <w:jc w:val="center"/>
              <w:rPr>
                <w:rFonts w:ascii="宋体" w:hAnsi="宋体" w:cs="Times New Roman"/>
                <w:color w:val="000000"/>
                <w:kern w:val="0"/>
                <w:szCs w:val="21"/>
              </w:rPr>
            </w:pPr>
            <w:r>
              <w:rPr>
                <w:rFonts w:hint="eastAsia" w:ascii="宋体" w:hAnsi="宋体" w:cs="Times New Roman"/>
                <w:bCs/>
                <w:color w:val="000000"/>
                <w:kern w:val="0"/>
                <w:szCs w:val="21"/>
              </w:rPr>
              <w:t>×</w:t>
            </w:r>
          </w:p>
        </w:tc>
        <w:tc>
          <w:tcPr>
            <w:tcW w:w="1174" w:type="dxa"/>
            <w:vAlign w:val="center"/>
          </w:tcPr>
          <w:p>
            <w:pPr>
              <w:autoSpaceDE w:val="0"/>
              <w:autoSpaceDN w:val="0"/>
              <w:adjustRightInd w:val="0"/>
              <w:snapToGrid w:val="0"/>
              <w:jc w:val="center"/>
              <w:rPr>
                <w:rFonts w:ascii="宋体" w:hAnsi="宋体" w:cs="Times New Roman"/>
                <w:color w:val="000000"/>
                <w:kern w:val="0"/>
                <w:szCs w:val="21"/>
              </w:rPr>
            </w:pPr>
          </w:p>
        </w:tc>
        <w:tc>
          <w:tcPr>
            <w:tcW w:w="1031" w:type="dxa"/>
            <w:vAlign w:val="center"/>
          </w:tcPr>
          <w:p>
            <w:pPr>
              <w:autoSpaceDE w:val="0"/>
              <w:autoSpaceDN w:val="0"/>
              <w:adjustRightInd w:val="0"/>
              <w:snapToGrid w:val="0"/>
              <w:jc w:val="center"/>
              <w:rPr>
                <w:rFonts w:ascii="宋体" w:hAnsi="宋体" w:cs="Times New Roman"/>
                <w:bCs/>
                <w:color w:val="000000"/>
                <w:kern w:val="0"/>
                <w:szCs w:val="21"/>
              </w:rPr>
            </w:pPr>
          </w:p>
        </w:tc>
        <w:tc>
          <w:tcPr>
            <w:tcW w:w="1599" w:type="dxa"/>
            <w:vAlign w:val="center"/>
          </w:tcPr>
          <w:p>
            <w:pPr>
              <w:autoSpaceDE w:val="0"/>
              <w:autoSpaceDN w:val="0"/>
              <w:adjustRightInd w:val="0"/>
              <w:snapToGrid w:val="0"/>
              <w:jc w:val="center"/>
              <w:rPr>
                <w:rFonts w:ascii="宋体" w:hAnsi="宋体" w:cs="Times New Roman"/>
                <w:bCs/>
                <w:color w:val="000000"/>
                <w:kern w:val="0"/>
                <w:szCs w:val="21"/>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4473" w:type="dxa"/>
            <w:vAlign w:val="center"/>
          </w:tcPr>
          <w:p>
            <w:pPr>
              <w:autoSpaceDE w:val="0"/>
              <w:autoSpaceDN w:val="0"/>
              <w:adjustRightInd w:val="0"/>
              <w:snapToGrid w:val="0"/>
              <w:rPr>
                <w:rFonts w:ascii="宋体" w:hAnsi="宋体" w:cs="Times New Roman"/>
                <w:color w:val="000000"/>
                <w:kern w:val="0"/>
                <w:szCs w:val="21"/>
              </w:rPr>
            </w:pPr>
            <w:r>
              <w:rPr>
                <w:rFonts w:hint="eastAsia" w:ascii="宋体" w:hAnsi="宋体" w:cs="Times New Roman"/>
                <w:color w:val="000000"/>
                <w:kern w:val="0"/>
                <w:szCs w:val="21"/>
              </w:rPr>
              <w:t>气体供应管路内压力异常</w:t>
            </w:r>
          </w:p>
        </w:tc>
        <w:tc>
          <w:tcPr>
            <w:tcW w:w="748" w:type="dxa"/>
            <w:vAlign w:val="center"/>
          </w:tcPr>
          <w:p>
            <w:pPr>
              <w:autoSpaceDE w:val="0"/>
              <w:autoSpaceDN w:val="0"/>
              <w:adjustRightInd w:val="0"/>
              <w:snapToGrid w:val="0"/>
              <w:jc w:val="center"/>
              <w:rPr>
                <w:rFonts w:ascii="宋体" w:hAnsi="宋体" w:cs="Times New Roman"/>
                <w:color w:val="000000"/>
                <w:kern w:val="0"/>
                <w:szCs w:val="21"/>
              </w:rPr>
            </w:pPr>
            <w:r>
              <w:rPr>
                <w:rFonts w:hint="eastAsia" w:ascii="宋体" w:hAnsi="宋体" w:cs="Times New Roman"/>
                <w:bCs/>
                <w:color w:val="000000"/>
                <w:kern w:val="0"/>
                <w:szCs w:val="21"/>
              </w:rPr>
              <w:t>×</w:t>
            </w:r>
          </w:p>
        </w:tc>
        <w:tc>
          <w:tcPr>
            <w:tcW w:w="1174" w:type="dxa"/>
            <w:vAlign w:val="center"/>
          </w:tcPr>
          <w:p>
            <w:pPr>
              <w:autoSpaceDE w:val="0"/>
              <w:autoSpaceDN w:val="0"/>
              <w:adjustRightInd w:val="0"/>
              <w:snapToGrid w:val="0"/>
              <w:jc w:val="center"/>
              <w:rPr>
                <w:rFonts w:ascii="宋体" w:hAnsi="宋体" w:cs="Times New Roman"/>
                <w:color w:val="000000"/>
                <w:kern w:val="0"/>
                <w:szCs w:val="21"/>
              </w:rPr>
            </w:pPr>
          </w:p>
        </w:tc>
        <w:tc>
          <w:tcPr>
            <w:tcW w:w="1031" w:type="dxa"/>
            <w:vAlign w:val="center"/>
          </w:tcPr>
          <w:p>
            <w:pPr>
              <w:autoSpaceDE w:val="0"/>
              <w:autoSpaceDN w:val="0"/>
              <w:adjustRightInd w:val="0"/>
              <w:snapToGrid w:val="0"/>
              <w:jc w:val="center"/>
              <w:rPr>
                <w:rFonts w:ascii="宋体" w:hAnsi="宋体" w:cs="Times New Roman"/>
                <w:bCs/>
                <w:color w:val="000000"/>
                <w:kern w:val="0"/>
                <w:szCs w:val="21"/>
              </w:rPr>
            </w:pPr>
          </w:p>
        </w:tc>
        <w:tc>
          <w:tcPr>
            <w:tcW w:w="1599" w:type="dxa"/>
            <w:vAlign w:val="center"/>
          </w:tcPr>
          <w:p>
            <w:pPr>
              <w:autoSpaceDE w:val="0"/>
              <w:autoSpaceDN w:val="0"/>
              <w:adjustRightInd w:val="0"/>
              <w:snapToGrid w:val="0"/>
              <w:jc w:val="center"/>
              <w:rPr>
                <w:rFonts w:ascii="宋体" w:hAnsi="宋体" w:cs="Times New Roman"/>
                <w:bCs/>
                <w:color w:val="000000"/>
                <w:kern w:val="0"/>
                <w:szCs w:val="21"/>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4473" w:type="dxa"/>
            <w:vAlign w:val="center"/>
          </w:tcPr>
          <w:p>
            <w:pPr>
              <w:autoSpaceDE w:val="0"/>
              <w:autoSpaceDN w:val="0"/>
              <w:adjustRightInd w:val="0"/>
              <w:snapToGrid w:val="0"/>
              <w:rPr>
                <w:rFonts w:ascii="宋体" w:hAnsi="宋体" w:cs="Times New Roman"/>
                <w:color w:val="000000"/>
                <w:kern w:val="0"/>
                <w:szCs w:val="21"/>
              </w:rPr>
            </w:pPr>
            <w:r>
              <w:rPr>
                <w:rFonts w:hint="eastAsia" w:ascii="宋体" w:hAnsi="宋体" w:cs="Times New Roman"/>
                <w:color w:val="000000"/>
                <w:kern w:val="0"/>
                <w:szCs w:val="21"/>
              </w:rPr>
              <w:t>控制工作介质的阀门故障</w:t>
            </w:r>
          </w:p>
        </w:tc>
        <w:tc>
          <w:tcPr>
            <w:tcW w:w="748" w:type="dxa"/>
            <w:vAlign w:val="center"/>
          </w:tcPr>
          <w:p>
            <w:pPr>
              <w:autoSpaceDE w:val="0"/>
              <w:autoSpaceDN w:val="0"/>
              <w:adjustRightInd w:val="0"/>
              <w:snapToGrid w:val="0"/>
              <w:jc w:val="center"/>
              <w:rPr>
                <w:rFonts w:ascii="宋体" w:hAnsi="宋体" w:cs="Times New Roman"/>
                <w:color w:val="000000"/>
                <w:kern w:val="0"/>
                <w:szCs w:val="21"/>
              </w:rPr>
            </w:pPr>
            <w:r>
              <w:rPr>
                <w:rFonts w:hint="eastAsia" w:ascii="宋体" w:hAnsi="宋体" w:cs="Times New Roman"/>
                <w:bCs/>
                <w:color w:val="000000"/>
                <w:kern w:val="0"/>
                <w:szCs w:val="21"/>
              </w:rPr>
              <w:t>×</w:t>
            </w:r>
          </w:p>
        </w:tc>
        <w:tc>
          <w:tcPr>
            <w:tcW w:w="1174" w:type="dxa"/>
            <w:vAlign w:val="center"/>
          </w:tcPr>
          <w:p>
            <w:pPr>
              <w:autoSpaceDE w:val="0"/>
              <w:autoSpaceDN w:val="0"/>
              <w:adjustRightInd w:val="0"/>
              <w:snapToGrid w:val="0"/>
              <w:jc w:val="center"/>
              <w:rPr>
                <w:rFonts w:ascii="宋体" w:hAnsi="宋体" w:cs="Times New Roman"/>
                <w:color w:val="000000"/>
                <w:kern w:val="0"/>
                <w:szCs w:val="21"/>
              </w:rPr>
            </w:pPr>
          </w:p>
        </w:tc>
        <w:tc>
          <w:tcPr>
            <w:tcW w:w="1031" w:type="dxa"/>
            <w:vAlign w:val="center"/>
          </w:tcPr>
          <w:p>
            <w:pPr>
              <w:autoSpaceDE w:val="0"/>
              <w:autoSpaceDN w:val="0"/>
              <w:adjustRightInd w:val="0"/>
              <w:snapToGrid w:val="0"/>
              <w:jc w:val="center"/>
              <w:rPr>
                <w:rFonts w:ascii="宋体" w:hAnsi="宋体" w:cs="Times New Roman"/>
                <w:bCs/>
                <w:color w:val="000000"/>
                <w:kern w:val="0"/>
                <w:szCs w:val="21"/>
              </w:rPr>
            </w:pPr>
            <w:r>
              <w:rPr>
                <w:rFonts w:hint="eastAsia" w:ascii="宋体" w:hAnsi="宋体" w:cs="Times New Roman"/>
                <w:bCs/>
                <w:color w:val="000000"/>
                <w:kern w:val="0"/>
                <w:szCs w:val="21"/>
              </w:rPr>
              <w:t>×</w:t>
            </w:r>
            <w:r>
              <w:rPr>
                <w:rFonts w:hint="eastAsia" w:ascii="宋体" w:hAnsi="宋体" w:cs="Times New Roman"/>
                <w:bCs/>
                <w:color w:val="000000"/>
                <w:kern w:val="0"/>
                <w:szCs w:val="21"/>
                <w:vertAlign w:val="superscript"/>
              </w:rPr>
              <w:t>4）</w:t>
            </w:r>
          </w:p>
        </w:tc>
        <w:tc>
          <w:tcPr>
            <w:tcW w:w="1599" w:type="dxa"/>
            <w:vAlign w:val="center"/>
          </w:tcPr>
          <w:p>
            <w:pPr>
              <w:autoSpaceDE w:val="0"/>
              <w:autoSpaceDN w:val="0"/>
              <w:adjustRightInd w:val="0"/>
              <w:snapToGrid w:val="0"/>
              <w:jc w:val="center"/>
              <w:rPr>
                <w:rFonts w:ascii="宋体" w:hAnsi="宋体" w:cs="Times New Roman"/>
                <w:bCs/>
                <w:color w:val="000000"/>
                <w:kern w:val="0"/>
                <w:szCs w:val="21"/>
              </w:rPr>
            </w:pPr>
            <w:r>
              <w:rPr>
                <w:rFonts w:hint="eastAsia" w:ascii="宋体" w:hAnsi="宋体" w:cs="Times New Roman"/>
                <w:bCs/>
                <w:color w:val="000000"/>
                <w:kern w:val="0"/>
                <w:szCs w:val="21"/>
              </w:rPr>
              <w:t>视需要可延迟</w:t>
            </w: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4473" w:type="dxa"/>
            <w:vAlign w:val="center"/>
          </w:tcPr>
          <w:p>
            <w:pPr>
              <w:autoSpaceDE w:val="0"/>
              <w:autoSpaceDN w:val="0"/>
              <w:adjustRightInd w:val="0"/>
              <w:snapToGrid w:val="0"/>
              <w:rPr>
                <w:rFonts w:ascii="宋体" w:hAnsi="宋体" w:cs="Times New Roman"/>
                <w:color w:val="000000"/>
                <w:kern w:val="0"/>
                <w:szCs w:val="21"/>
              </w:rPr>
            </w:pPr>
            <w:r>
              <w:rPr>
                <w:rFonts w:ascii="宋体" w:hAnsi="宋体" w:cs="Times New Roman"/>
                <w:bCs/>
                <w:color w:val="000000"/>
                <w:kern w:val="0"/>
                <w:szCs w:val="21"/>
              </w:rPr>
              <w:t>发动机自动停</w:t>
            </w:r>
            <w:r>
              <w:rPr>
                <w:rFonts w:hint="eastAsia" w:ascii="宋体" w:hAnsi="宋体" w:cs="Times New Roman"/>
                <w:bCs/>
                <w:color w:val="000000"/>
                <w:kern w:val="0"/>
                <w:szCs w:val="21"/>
              </w:rPr>
              <w:t>车</w:t>
            </w:r>
            <w:r>
              <w:rPr>
                <w:rFonts w:ascii="宋体" w:hAnsi="宋体" w:cs="Times New Roman"/>
                <w:bCs/>
                <w:color w:val="000000"/>
                <w:kern w:val="0"/>
                <w:szCs w:val="21"/>
              </w:rPr>
              <w:t>（发动机故障）</w:t>
            </w:r>
          </w:p>
        </w:tc>
        <w:tc>
          <w:tcPr>
            <w:tcW w:w="748" w:type="dxa"/>
            <w:vAlign w:val="center"/>
          </w:tcPr>
          <w:p>
            <w:pPr>
              <w:autoSpaceDE w:val="0"/>
              <w:autoSpaceDN w:val="0"/>
              <w:adjustRightInd w:val="0"/>
              <w:snapToGrid w:val="0"/>
              <w:jc w:val="center"/>
              <w:rPr>
                <w:rFonts w:ascii="宋体" w:hAnsi="宋体" w:cs="Times New Roman"/>
                <w:color w:val="000000"/>
                <w:kern w:val="0"/>
                <w:szCs w:val="21"/>
              </w:rPr>
            </w:pPr>
            <w:r>
              <w:rPr>
                <w:rFonts w:hint="eastAsia" w:ascii="宋体" w:hAnsi="宋体" w:cs="Times New Roman"/>
                <w:bCs/>
                <w:color w:val="000000"/>
                <w:kern w:val="0"/>
                <w:szCs w:val="21"/>
              </w:rPr>
              <w:t>×</w:t>
            </w:r>
          </w:p>
        </w:tc>
        <w:tc>
          <w:tcPr>
            <w:tcW w:w="1174" w:type="dxa"/>
            <w:vAlign w:val="center"/>
          </w:tcPr>
          <w:p>
            <w:pPr>
              <w:autoSpaceDE w:val="0"/>
              <w:autoSpaceDN w:val="0"/>
              <w:adjustRightInd w:val="0"/>
              <w:snapToGrid w:val="0"/>
              <w:jc w:val="center"/>
              <w:rPr>
                <w:rFonts w:ascii="宋体" w:hAnsi="宋体" w:cs="Times New Roman"/>
                <w:color w:val="000000"/>
                <w:kern w:val="0"/>
                <w:szCs w:val="21"/>
              </w:rPr>
            </w:pPr>
          </w:p>
        </w:tc>
        <w:tc>
          <w:tcPr>
            <w:tcW w:w="1031" w:type="dxa"/>
            <w:vAlign w:val="center"/>
          </w:tcPr>
          <w:p>
            <w:pPr>
              <w:autoSpaceDE w:val="0"/>
              <w:autoSpaceDN w:val="0"/>
              <w:adjustRightInd w:val="0"/>
              <w:snapToGrid w:val="0"/>
              <w:jc w:val="center"/>
              <w:rPr>
                <w:rFonts w:ascii="宋体" w:hAnsi="宋体" w:cs="Times New Roman"/>
                <w:bCs/>
                <w:color w:val="000000"/>
                <w:kern w:val="0"/>
                <w:szCs w:val="21"/>
              </w:rPr>
            </w:pPr>
            <w:r>
              <w:rPr>
                <w:rFonts w:hint="eastAsia" w:ascii="宋体" w:hAnsi="宋体" w:cs="Times New Roman"/>
                <w:bCs/>
                <w:color w:val="000000"/>
                <w:kern w:val="0"/>
                <w:szCs w:val="21"/>
              </w:rPr>
              <w:t>×</w:t>
            </w:r>
            <w:r>
              <w:rPr>
                <w:rFonts w:hint="eastAsia" w:ascii="宋体" w:hAnsi="宋体" w:cs="Times New Roman"/>
                <w:bCs/>
                <w:color w:val="000000"/>
                <w:kern w:val="0"/>
                <w:szCs w:val="21"/>
                <w:vertAlign w:val="superscript"/>
              </w:rPr>
              <w:t>4）</w:t>
            </w:r>
          </w:p>
        </w:tc>
        <w:tc>
          <w:tcPr>
            <w:tcW w:w="1599" w:type="dxa"/>
            <w:vAlign w:val="center"/>
          </w:tcPr>
          <w:p>
            <w:pPr>
              <w:autoSpaceDE w:val="0"/>
              <w:autoSpaceDN w:val="0"/>
              <w:adjustRightInd w:val="0"/>
              <w:snapToGrid w:val="0"/>
              <w:jc w:val="center"/>
              <w:rPr>
                <w:rFonts w:ascii="宋体" w:hAnsi="宋体" w:cs="Times New Roman"/>
                <w:bCs/>
                <w:color w:val="000000"/>
                <w:kern w:val="0"/>
                <w:szCs w:val="21"/>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4473" w:type="dxa"/>
            <w:vAlign w:val="center"/>
          </w:tcPr>
          <w:p>
            <w:pPr>
              <w:autoSpaceDE w:val="0"/>
              <w:autoSpaceDN w:val="0"/>
              <w:adjustRightInd w:val="0"/>
              <w:snapToGrid w:val="0"/>
              <w:rPr>
                <w:rFonts w:ascii="宋体" w:hAnsi="宋体" w:cs="Times New Roman"/>
                <w:color w:val="000000"/>
                <w:kern w:val="0"/>
                <w:szCs w:val="21"/>
              </w:rPr>
            </w:pPr>
            <w:r>
              <w:rPr>
                <w:rFonts w:ascii="宋体" w:hAnsi="宋体" w:cs="Times New Roman"/>
                <w:bCs/>
                <w:color w:val="000000"/>
                <w:kern w:val="0"/>
                <w:szCs w:val="21"/>
              </w:rPr>
              <w:t>发动机</w:t>
            </w:r>
            <w:r>
              <w:rPr>
                <w:rFonts w:hint="eastAsia" w:ascii="宋体" w:hAnsi="宋体" w:cs="Times New Roman"/>
                <w:bCs/>
                <w:color w:val="000000"/>
                <w:kern w:val="0"/>
                <w:szCs w:val="21"/>
              </w:rPr>
              <w:t>手动</w:t>
            </w:r>
            <w:r>
              <w:rPr>
                <w:rFonts w:ascii="宋体" w:hAnsi="宋体" w:cs="Times New Roman"/>
                <w:bCs/>
                <w:color w:val="000000"/>
                <w:kern w:val="0"/>
                <w:szCs w:val="21"/>
              </w:rPr>
              <w:t>紧急停车</w:t>
            </w:r>
          </w:p>
        </w:tc>
        <w:tc>
          <w:tcPr>
            <w:tcW w:w="748" w:type="dxa"/>
            <w:vAlign w:val="center"/>
          </w:tcPr>
          <w:p>
            <w:pPr>
              <w:autoSpaceDE w:val="0"/>
              <w:autoSpaceDN w:val="0"/>
              <w:adjustRightInd w:val="0"/>
              <w:snapToGrid w:val="0"/>
              <w:jc w:val="center"/>
              <w:rPr>
                <w:rFonts w:ascii="宋体" w:hAnsi="宋体" w:cs="Times New Roman"/>
                <w:color w:val="000000"/>
                <w:kern w:val="0"/>
                <w:szCs w:val="21"/>
              </w:rPr>
            </w:pPr>
            <w:r>
              <w:rPr>
                <w:rFonts w:hint="eastAsia" w:ascii="宋体" w:hAnsi="宋体" w:cs="Times New Roman"/>
                <w:bCs/>
                <w:color w:val="000000"/>
                <w:kern w:val="0"/>
                <w:szCs w:val="21"/>
              </w:rPr>
              <w:t>×</w:t>
            </w:r>
          </w:p>
        </w:tc>
        <w:tc>
          <w:tcPr>
            <w:tcW w:w="1174" w:type="dxa"/>
            <w:vAlign w:val="center"/>
          </w:tcPr>
          <w:p>
            <w:pPr>
              <w:autoSpaceDE w:val="0"/>
              <w:autoSpaceDN w:val="0"/>
              <w:adjustRightInd w:val="0"/>
              <w:snapToGrid w:val="0"/>
              <w:jc w:val="center"/>
              <w:rPr>
                <w:rFonts w:ascii="宋体" w:hAnsi="宋体" w:cs="Times New Roman"/>
                <w:color w:val="000000"/>
                <w:kern w:val="0"/>
                <w:szCs w:val="21"/>
              </w:rPr>
            </w:pPr>
          </w:p>
        </w:tc>
        <w:tc>
          <w:tcPr>
            <w:tcW w:w="1031" w:type="dxa"/>
            <w:vAlign w:val="center"/>
          </w:tcPr>
          <w:p>
            <w:pPr>
              <w:autoSpaceDE w:val="0"/>
              <w:autoSpaceDN w:val="0"/>
              <w:adjustRightInd w:val="0"/>
              <w:snapToGrid w:val="0"/>
              <w:jc w:val="center"/>
              <w:rPr>
                <w:rFonts w:ascii="宋体" w:hAnsi="宋体" w:cs="Times New Roman"/>
                <w:bCs/>
                <w:color w:val="000000"/>
                <w:kern w:val="0"/>
                <w:szCs w:val="21"/>
              </w:rPr>
            </w:pPr>
            <w:r>
              <w:rPr>
                <w:rFonts w:hint="eastAsia" w:ascii="宋体" w:hAnsi="宋体" w:cs="Times New Roman"/>
                <w:bCs/>
                <w:color w:val="000000"/>
                <w:kern w:val="0"/>
                <w:szCs w:val="21"/>
              </w:rPr>
              <w:t>×</w:t>
            </w:r>
          </w:p>
        </w:tc>
        <w:tc>
          <w:tcPr>
            <w:tcW w:w="1599" w:type="dxa"/>
            <w:vAlign w:val="center"/>
          </w:tcPr>
          <w:p>
            <w:pPr>
              <w:autoSpaceDE w:val="0"/>
              <w:autoSpaceDN w:val="0"/>
              <w:adjustRightInd w:val="0"/>
              <w:snapToGrid w:val="0"/>
              <w:jc w:val="center"/>
              <w:rPr>
                <w:rFonts w:ascii="宋体" w:hAnsi="宋体" w:cs="Times New Roman"/>
                <w:bCs/>
                <w:color w:val="000000"/>
                <w:kern w:val="0"/>
                <w:szCs w:val="21"/>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9025" w:type="dxa"/>
            <w:gridSpan w:val="5"/>
            <w:vAlign w:val="center"/>
          </w:tcPr>
          <w:p>
            <w:pPr>
              <w:autoSpaceDE w:val="0"/>
              <w:autoSpaceDN w:val="0"/>
              <w:adjustRightInd w:val="0"/>
              <w:snapToGrid w:val="0"/>
              <w:spacing w:line="360" w:lineRule="auto"/>
              <w:rPr>
                <w:rFonts w:ascii="宋体" w:hAnsi="宋体" w:cs="Times New Roman"/>
                <w:bCs/>
                <w:color w:val="000000"/>
                <w:kern w:val="0"/>
                <w:szCs w:val="21"/>
              </w:rPr>
            </w:pPr>
            <w:r>
              <w:rPr>
                <w:rFonts w:hint="eastAsia" w:ascii="宋体" w:hAnsi="宋体" w:cs="Times New Roman"/>
                <w:bCs/>
                <w:color w:val="000000"/>
                <w:kern w:val="0"/>
                <w:szCs w:val="21"/>
              </w:rPr>
              <w:t>1) 基于冗余</w:t>
            </w:r>
            <w:r>
              <w:rPr>
                <w:rFonts w:ascii="宋体" w:hAnsi="宋体" w:cs="Times New Roman"/>
                <w:bCs/>
                <w:color w:val="000000"/>
                <w:kern w:val="0"/>
                <w:szCs w:val="21"/>
              </w:rPr>
              <w:t>的考虑</w:t>
            </w:r>
            <w:r>
              <w:rPr>
                <w:rFonts w:hint="eastAsia" w:ascii="宋体" w:hAnsi="宋体" w:cs="Times New Roman"/>
                <w:bCs/>
                <w:color w:val="000000"/>
                <w:kern w:val="0"/>
                <w:szCs w:val="21"/>
              </w:rPr>
              <w:t>应</w:t>
            </w:r>
            <w:r>
              <w:rPr>
                <w:rFonts w:ascii="宋体" w:hAnsi="宋体" w:cs="Times New Roman"/>
                <w:bCs/>
                <w:color w:val="000000"/>
                <w:kern w:val="0"/>
                <w:szCs w:val="21"/>
              </w:rPr>
              <w:t>安装两个相互靠近</w:t>
            </w:r>
            <w:r>
              <w:rPr>
                <w:rFonts w:hint="eastAsia" w:ascii="宋体" w:hAnsi="宋体" w:cs="Times New Roman"/>
                <w:bCs/>
                <w:color w:val="000000"/>
                <w:kern w:val="0"/>
                <w:szCs w:val="21"/>
              </w:rPr>
              <w:t>且独立</w:t>
            </w:r>
            <w:r>
              <w:rPr>
                <w:rFonts w:ascii="宋体" w:hAnsi="宋体" w:cs="Times New Roman"/>
                <w:bCs/>
                <w:color w:val="000000"/>
                <w:kern w:val="0"/>
                <w:szCs w:val="21"/>
              </w:rPr>
              <w:t>的探测器，如探测器具备自检功能，</w:t>
            </w:r>
            <w:r>
              <w:rPr>
                <w:rFonts w:hint="eastAsia" w:ascii="宋体" w:hAnsi="宋体" w:cs="Times New Roman"/>
                <w:bCs/>
                <w:color w:val="000000"/>
                <w:kern w:val="0"/>
                <w:szCs w:val="21"/>
              </w:rPr>
              <w:t>则</w:t>
            </w:r>
            <w:r>
              <w:rPr>
                <w:rFonts w:ascii="宋体" w:hAnsi="宋体" w:cs="Times New Roman"/>
                <w:bCs/>
                <w:color w:val="000000"/>
                <w:kern w:val="0"/>
                <w:szCs w:val="21"/>
              </w:rPr>
              <w:t>允许</w:t>
            </w:r>
            <w:r>
              <w:rPr>
                <w:rFonts w:hint="eastAsia" w:ascii="宋体" w:hAnsi="宋体" w:cs="Times New Roman"/>
                <w:bCs/>
                <w:color w:val="000000"/>
                <w:kern w:val="0"/>
                <w:szCs w:val="21"/>
              </w:rPr>
              <w:t>仅</w:t>
            </w:r>
            <w:r>
              <w:rPr>
                <w:rFonts w:ascii="宋体" w:hAnsi="宋体" w:cs="Times New Roman"/>
                <w:bCs/>
                <w:color w:val="000000"/>
                <w:kern w:val="0"/>
                <w:szCs w:val="21"/>
              </w:rPr>
              <w:t>安装</w:t>
            </w:r>
            <w:r>
              <w:rPr>
                <w:rFonts w:hint="eastAsia" w:ascii="宋体" w:hAnsi="宋体" w:cs="Times New Roman"/>
                <w:bCs/>
                <w:color w:val="000000"/>
                <w:kern w:val="0"/>
                <w:szCs w:val="21"/>
              </w:rPr>
              <w:t>一个</w:t>
            </w:r>
            <w:r>
              <w:rPr>
                <w:rFonts w:ascii="宋体" w:hAnsi="宋体" w:cs="Times New Roman"/>
                <w:bCs/>
                <w:color w:val="000000"/>
                <w:kern w:val="0"/>
                <w:szCs w:val="21"/>
              </w:rPr>
              <w:t>探测器</w:t>
            </w:r>
            <w:r>
              <w:rPr>
                <w:rFonts w:hint="eastAsia" w:ascii="宋体" w:hAnsi="宋体" w:cs="Times New Roman"/>
                <w:bCs/>
                <w:color w:val="000000"/>
                <w:kern w:val="0"/>
                <w:szCs w:val="21"/>
              </w:rPr>
              <w:t>。</w:t>
            </w:r>
          </w:p>
          <w:p>
            <w:pPr>
              <w:autoSpaceDE w:val="0"/>
              <w:autoSpaceDN w:val="0"/>
              <w:adjustRightInd w:val="0"/>
              <w:snapToGrid w:val="0"/>
              <w:spacing w:line="360" w:lineRule="auto"/>
              <w:rPr>
                <w:rFonts w:ascii="宋体" w:hAnsi="宋体" w:cs="Times New Roman"/>
                <w:bCs/>
                <w:color w:val="000000"/>
                <w:kern w:val="0"/>
                <w:szCs w:val="21"/>
              </w:rPr>
            </w:pPr>
            <w:r>
              <w:rPr>
                <w:rFonts w:hint="eastAsia" w:ascii="宋体" w:hAnsi="宋体" w:cs="Times New Roman"/>
                <w:bCs/>
                <w:color w:val="000000"/>
                <w:kern w:val="0"/>
                <w:szCs w:val="21"/>
              </w:rPr>
              <w:t>2）如果</w:t>
            </w:r>
            <w:bookmarkStart w:id="36" w:name="OLE_LINK31"/>
            <w:bookmarkStart w:id="37" w:name="OLE_LINK32"/>
            <w:r>
              <w:rPr>
                <w:rFonts w:hint="eastAsia" w:ascii="宋体" w:hAnsi="宋体" w:cs="Times New Roman"/>
                <w:bCs/>
                <w:color w:val="000000"/>
                <w:kern w:val="0"/>
                <w:szCs w:val="21"/>
              </w:rPr>
              <w:t>燃料舱</w:t>
            </w:r>
            <w:bookmarkEnd w:id="36"/>
            <w:bookmarkEnd w:id="37"/>
            <w:r>
              <w:rPr>
                <w:rFonts w:hint="eastAsia" w:ascii="宋体" w:hAnsi="宋体" w:cs="Times New Roman"/>
                <w:bCs/>
                <w:color w:val="000000"/>
                <w:kern w:val="0"/>
                <w:szCs w:val="21"/>
              </w:rPr>
              <w:t>向一台以上发动机供气，并且不同的供气管路完全独立并安装在独立的导管内，同时每条管路上的主气体燃料阀位于导管外部，则仅关闭通往探测到可燃气体或通风失效的导管的供气管路上的主气体燃料阀。</w:t>
            </w:r>
          </w:p>
          <w:p>
            <w:pPr>
              <w:autoSpaceDE w:val="0"/>
              <w:autoSpaceDN w:val="0"/>
              <w:adjustRightInd w:val="0"/>
              <w:snapToGrid w:val="0"/>
              <w:spacing w:line="360" w:lineRule="auto"/>
              <w:rPr>
                <w:rFonts w:ascii="宋体" w:hAnsi="宋体" w:cs="Times New Roman"/>
                <w:bCs/>
                <w:color w:val="000000"/>
                <w:kern w:val="0"/>
                <w:szCs w:val="21"/>
              </w:rPr>
            </w:pPr>
            <w:r>
              <w:rPr>
                <w:rFonts w:ascii="宋体" w:hAnsi="宋体" w:cs="Times New Roman"/>
                <w:bCs/>
                <w:color w:val="000000"/>
                <w:kern w:val="0"/>
                <w:szCs w:val="21"/>
              </w:rPr>
              <w:t>3</w:t>
            </w:r>
            <w:r>
              <w:rPr>
                <w:rFonts w:hint="eastAsia" w:ascii="宋体" w:hAnsi="宋体" w:cs="Times New Roman"/>
                <w:bCs/>
                <w:color w:val="000000"/>
                <w:kern w:val="0"/>
                <w:szCs w:val="21"/>
              </w:rPr>
              <w:t>)如果气体燃料供至一台以上发动机，并且不同的供气管路完全独立并安装在独立的导管内，同时每条管路上的主气体燃料阀位于导管外部和机器处所之外，则仅关闭通往探测到可燃气体或通风失效的导管的供气管路上的主气体燃料阀。</w:t>
            </w:r>
          </w:p>
          <w:p>
            <w:pPr>
              <w:autoSpaceDE w:val="0"/>
              <w:autoSpaceDN w:val="0"/>
              <w:adjustRightInd w:val="0"/>
              <w:snapToGrid w:val="0"/>
              <w:spacing w:line="360" w:lineRule="auto"/>
              <w:rPr>
                <w:rFonts w:ascii="宋体" w:hAnsi="宋体" w:cs="Times New Roman"/>
                <w:bCs/>
                <w:color w:val="000000"/>
                <w:kern w:val="0"/>
                <w:szCs w:val="21"/>
              </w:rPr>
            </w:pPr>
            <w:r>
              <w:rPr>
                <w:rFonts w:hint="eastAsia" w:ascii="宋体" w:hAnsi="宋体" w:cs="Times New Roman"/>
                <w:bCs/>
                <w:color w:val="000000"/>
                <w:kern w:val="0"/>
                <w:szCs w:val="21"/>
              </w:rPr>
              <w:t>4）仅双</w:t>
            </w:r>
            <w:r>
              <w:rPr>
                <w:rFonts w:ascii="宋体" w:hAnsi="宋体" w:cs="Times New Roman"/>
                <w:bCs/>
                <w:color w:val="000000"/>
                <w:kern w:val="0"/>
                <w:szCs w:val="21"/>
              </w:rPr>
              <w:t>截止透气</w:t>
            </w:r>
            <w:r>
              <w:rPr>
                <w:rFonts w:hint="eastAsia" w:ascii="宋体" w:hAnsi="宋体" w:cs="Times New Roman"/>
                <w:bCs/>
                <w:color w:val="000000"/>
                <w:kern w:val="0"/>
                <w:szCs w:val="21"/>
              </w:rPr>
              <w:t>阀关闭。</w:t>
            </w:r>
          </w:p>
          <w:p>
            <w:pPr>
              <w:autoSpaceDE w:val="0"/>
              <w:autoSpaceDN w:val="0"/>
              <w:adjustRightInd w:val="0"/>
              <w:snapToGrid w:val="0"/>
              <w:spacing w:line="360" w:lineRule="auto"/>
              <w:rPr>
                <w:rFonts w:ascii="宋体" w:hAnsi="宋体" w:cs="Times New Roman"/>
                <w:bCs/>
                <w:color w:val="000000"/>
                <w:kern w:val="0"/>
                <w:szCs w:val="21"/>
              </w:rPr>
            </w:pPr>
            <w:r>
              <w:rPr>
                <w:rFonts w:hint="eastAsia" w:ascii="宋体" w:hAnsi="宋体" w:cs="Times New Roman"/>
                <w:bCs/>
                <w:color w:val="000000"/>
                <w:kern w:val="0"/>
                <w:szCs w:val="21"/>
              </w:rPr>
              <w:t>5）如果管道由惰性气体进行保护（</w:t>
            </w:r>
            <w:r>
              <w:rPr>
                <w:rFonts w:ascii="宋体" w:hAnsi="宋体" w:cs="Times New Roman"/>
                <w:bCs/>
                <w:color w:val="000000"/>
                <w:kern w:val="0"/>
                <w:szCs w:val="21"/>
              </w:rPr>
              <w:t>见</w:t>
            </w:r>
            <w:r>
              <w:rPr>
                <w:rFonts w:hint="eastAsia" w:ascii="宋体" w:hAnsi="宋体" w:cs="Times New Roman"/>
                <w:bCs/>
                <w:color w:val="000000"/>
                <w:kern w:val="0"/>
                <w:szCs w:val="21"/>
              </w:rPr>
              <w:t>9.6.1.1），则惰性气体失压应引起本表所述相同的动作。</w:t>
            </w:r>
          </w:p>
          <w:p>
            <w:pPr>
              <w:autoSpaceDE w:val="0"/>
              <w:autoSpaceDN w:val="0"/>
              <w:adjustRightInd w:val="0"/>
              <w:snapToGrid w:val="0"/>
              <w:spacing w:line="360" w:lineRule="auto"/>
              <w:rPr>
                <w:rFonts w:ascii="宋体" w:hAnsi="宋体" w:cs="Times New Roman"/>
                <w:bCs/>
                <w:color w:val="000000"/>
                <w:kern w:val="0"/>
                <w:szCs w:val="21"/>
              </w:rPr>
            </w:pPr>
            <w:r>
              <w:rPr>
                <w:rFonts w:hint="eastAsia" w:ascii="宋体" w:hAnsi="宋体" w:cs="Times New Roman"/>
                <w:bCs/>
                <w:color w:val="000000"/>
                <w:kern w:val="0"/>
                <w:szCs w:val="21"/>
              </w:rPr>
              <w:t>6）指9</w:t>
            </w:r>
            <w:r>
              <w:rPr>
                <w:rFonts w:ascii="宋体" w:hAnsi="宋体" w:cs="Times New Roman"/>
                <w:bCs/>
                <w:color w:val="000000"/>
                <w:kern w:val="0"/>
                <w:szCs w:val="21"/>
              </w:rPr>
              <w:t>.4.1</w:t>
            </w:r>
            <w:r>
              <w:rPr>
                <w:rFonts w:hint="eastAsia" w:ascii="宋体" w:hAnsi="宋体" w:cs="Times New Roman"/>
                <w:bCs/>
                <w:color w:val="000000"/>
                <w:kern w:val="0"/>
                <w:szCs w:val="21"/>
              </w:rPr>
              <w:t>所述</w:t>
            </w:r>
            <w:r>
              <w:rPr>
                <w:rFonts w:ascii="宋体" w:hAnsi="宋体" w:cs="Times New Roman"/>
                <w:bCs/>
                <w:color w:val="000000"/>
                <w:kern w:val="0"/>
                <w:szCs w:val="21"/>
              </w:rPr>
              <w:t>的阀</w:t>
            </w:r>
            <w:r>
              <w:rPr>
                <w:rFonts w:hint="eastAsia" w:ascii="宋体" w:hAnsi="宋体" w:cs="Times New Roman"/>
                <w:bCs/>
                <w:color w:val="000000"/>
                <w:kern w:val="0"/>
                <w:szCs w:val="21"/>
              </w:rPr>
              <w:t>。</w:t>
            </w:r>
          </w:p>
        </w:tc>
      </w:tr>
    </w:tbl>
    <w:p>
      <w:pPr>
        <w:pStyle w:val="14"/>
        <w:ind w:firstLine="420" w:firstLineChars="200"/>
        <w:jc w:val="both"/>
        <w:outlineLvl w:val="3"/>
        <w:rPr>
          <w:rFonts w:hint="default" w:ascii="Calibri" w:hAnsi="Calibri" w:cs="黑体"/>
          <w:color w:val="000000"/>
          <w:kern w:val="2"/>
          <w:sz w:val="21"/>
          <w:szCs w:val="22"/>
          <w:lang w:val="en-US" w:eastAsia="zh-CN" w:bidi="ar-SA"/>
        </w:rPr>
      </w:pPr>
      <w:r>
        <w:rPr>
          <w:rFonts w:hint="eastAsia" w:ascii="Calibri" w:hAnsi="Calibri" w:cs="黑体"/>
          <w:color w:val="000000"/>
          <w:kern w:val="2"/>
          <w:sz w:val="21"/>
          <w:szCs w:val="22"/>
          <w:lang w:val="en-US" w:eastAsia="zh-CN" w:bidi="ar-SA"/>
        </w:rPr>
        <w:t>”</w:t>
      </w:r>
    </w:p>
    <w:p>
      <w:pPr>
        <w:keepNext w:val="0"/>
        <w:keepLines w:val="0"/>
        <w:widowControl/>
        <w:suppressLineNumbers w:val="0"/>
        <w:ind w:firstLine="420" w:firstLineChars="200"/>
        <w:jc w:val="left"/>
        <w:rPr>
          <w:rFonts w:hint="eastAsia" w:ascii="Times New Roman" w:hAnsi="Times New Roman" w:eastAsia="楷体" w:cs="Times New Roman"/>
          <w:snapToGrid w:val="0"/>
          <w:color w:val="0000FF"/>
          <w:kern w:val="0"/>
          <w:szCs w:val="21"/>
          <w:lang w:val="en-US" w:eastAsia="zh-CN"/>
        </w:rPr>
      </w:pPr>
    </w:p>
    <w:p>
      <w:pPr>
        <w:keepNext w:val="0"/>
        <w:keepLines w:val="0"/>
        <w:widowControl/>
        <w:suppressLineNumbers w:val="0"/>
        <w:jc w:val="left"/>
        <w:rPr>
          <w:rFonts w:hint="eastAsia" w:ascii="宋体" w:hAnsi="宋体" w:eastAsia="宋体" w:cs="宋体"/>
          <w:color w:val="000000"/>
          <w:kern w:val="0"/>
          <w:sz w:val="21"/>
          <w:szCs w:val="21"/>
          <w:lang w:val="en-US" w:eastAsia="zh-CN" w:bidi="ar"/>
        </w:rPr>
      </w:pPr>
    </w:p>
    <w:p>
      <w:pPr>
        <w:pStyle w:val="72"/>
        <w:outlineLvl w:val="0"/>
        <w:rPr>
          <w:rFonts w:ascii="Times New Roman" w:hAnsi="Times New Roman" w:cs="Times New Roman"/>
        </w:rPr>
      </w:pPr>
      <w:bookmarkStart w:id="38" w:name="_Toc29352"/>
      <w:r>
        <w:rPr>
          <w:rFonts w:hint="default" w:ascii="Times New Roman" w:hAnsi="Times New Roman" w:cs="Times New Roman"/>
          <w:lang w:val="en-US" w:eastAsia="zh-CN"/>
        </w:rPr>
        <w:t xml:space="preserve">B </w:t>
      </w:r>
      <w:r>
        <w:rPr>
          <w:rFonts w:hint="eastAsia" w:ascii="Times New Roman" w:hAnsi="Times New Roman" w:cs="Times New Roman"/>
          <w:lang w:val="en-US" w:eastAsia="zh-CN"/>
        </w:rPr>
        <w:t>部分</w:t>
      </w:r>
      <w:bookmarkEnd w:id="38"/>
    </w:p>
    <w:p>
      <w:pPr>
        <w:pStyle w:val="71"/>
        <w:jc w:val="center"/>
        <w:rPr>
          <w:rFonts w:hint="eastAsia" w:ascii="Times New Roman" w:hAnsi="Times New Roman"/>
        </w:rPr>
      </w:pPr>
      <w:bookmarkStart w:id="39" w:name="_Toc27906"/>
      <w:r>
        <w:rPr>
          <w:rFonts w:hint="default" w:ascii="Times New Roman" w:hAnsi="Times New Roman"/>
          <w:lang w:val="en-US" w:eastAsia="zh-CN"/>
        </w:rPr>
        <w:t>16</w:t>
      </w:r>
      <w:r>
        <w:rPr>
          <w:rFonts w:hint="eastAsia" w:ascii="Times New Roman" w:hAnsi="Times New Roman"/>
          <w:lang w:val="en-US" w:eastAsia="zh-CN"/>
        </w:rPr>
        <w:t xml:space="preserve"> </w:t>
      </w:r>
      <w:r>
        <w:rPr>
          <w:rFonts w:hint="default" w:ascii="Times New Roman" w:hAnsi="Times New Roman"/>
          <w:lang w:val="en-US" w:eastAsia="zh-CN"/>
        </w:rPr>
        <w:t xml:space="preserve"> </w:t>
      </w:r>
      <w:r>
        <w:rPr>
          <w:rFonts w:hint="eastAsia" w:ascii="Times New Roman" w:hAnsi="Times New Roman"/>
          <w:lang w:val="en-US" w:eastAsia="zh-CN"/>
        </w:rPr>
        <w:t>制造、工艺和试验</w:t>
      </w:r>
      <w:bookmarkEnd w:id="39"/>
    </w:p>
    <w:p>
      <w:pPr>
        <w:pStyle w:val="14"/>
        <w:ind w:firstLine="420" w:firstLineChars="200"/>
        <w:jc w:val="both"/>
        <w:outlineLvl w:val="3"/>
        <w:rPr>
          <w:rFonts w:hint="eastAsia" w:ascii="Times New Roman" w:hAnsi="Times New Roman" w:eastAsia="黑体" w:cs="Times New Roman"/>
          <w:bCs/>
          <w:kern w:val="2"/>
          <w:sz w:val="21"/>
          <w:szCs w:val="21"/>
          <w:lang w:val="en-US" w:eastAsia="zh-CN" w:bidi="ar-SA"/>
        </w:rPr>
      </w:pPr>
      <w:r>
        <w:rPr>
          <w:rFonts w:hint="default" w:ascii="Times New Roman" w:hAnsi="Times New Roman" w:eastAsia="黑体" w:cs="Times New Roman"/>
          <w:bCs/>
          <w:kern w:val="2"/>
          <w:sz w:val="21"/>
          <w:szCs w:val="21"/>
          <w:lang w:val="en-US" w:eastAsia="zh-CN" w:bidi="ar-SA"/>
        </w:rPr>
        <w:t xml:space="preserve">16.3 </w:t>
      </w:r>
      <w:r>
        <w:rPr>
          <w:rFonts w:hint="eastAsia" w:ascii="Times New Roman" w:hAnsi="Times New Roman" w:eastAsia="黑体" w:cs="Times New Roman"/>
          <w:bCs/>
          <w:kern w:val="2"/>
          <w:sz w:val="21"/>
          <w:szCs w:val="21"/>
          <w:lang w:val="en-US" w:eastAsia="zh-CN" w:bidi="ar-SA"/>
        </w:rPr>
        <w:t>燃料围护系统的金属材料焊接和无损探伤</w:t>
      </w:r>
    </w:p>
    <w:p>
      <w:pPr>
        <w:pStyle w:val="14"/>
        <w:ind w:firstLine="420" w:firstLineChars="200"/>
        <w:jc w:val="both"/>
        <w:outlineLvl w:val="3"/>
        <w:rPr>
          <w:rFonts w:hint="eastAsia" w:ascii="Times New Roman" w:hAnsi="Times New Roman" w:eastAsia="黑体" w:cs="Times New Roman"/>
          <w:bCs/>
          <w:kern w:val="2"/>
          <w:sz w:val="21"/>
          <w:szCs w:val="21"/>
          <w:lang w:val="en-US" w:eastAsia="zh-CN" w:bidi="ar-SA"/>
        </w:rPr>
      </w:pPr>
      <w:r>
        <w:rPr>
          <w:rFonts w:hint="eastAsia" w:ascii="Times New Roman" w:hAnsi="Times New Roman" w:eastAsia="黑体" w:cs="Times New Roman"/>
          <w:bCs/>
          <w:kern w:val="2"/>
          <w:sz w:val="21"/>
          <w:szCs w:val="21"/>
          <w:lang w:val="en-US" w:eastAsia="zh-CN" w:bidi="ar-SA"/>
        </w:rPr>
        <w:t xml:space="preserve"> </w:t>
      </w:r>
    </w:p>
    <w:p>
      <w:pPr>
        <w:keepNext w:val="0"/>
        <w:keepLines w:val="0"/>
        <w:pageBreakBefore w:val="0"/>
        <w:widowControl/>
        <w:suppressLineNumbers w:val="0"/>
        <w:kinsoku/>
        <w:wordWrap/>
        <w:overflowPunct/>
        <w:topLinePunct w:val="0"/>
        <w:bidi w:val="0"/>
        <w:adjustRightInd w:val="0"/>
        <w:snapToGrid w:val="0"/>
        <w:spacing w:line="240" w:lineRule="auto"/>
        <w:ind w:left="0" w:leftChars="0" w:firstLine="420" w:firstLineChars="200"/>
        <w:jc w:val="left"/>
        <w:textAlignment w:val="auto"/>
        <w:rPr>
          <w:color w:val="000000"/>
        </w:rPr>
      </w:pPr>
      <w:r>
        <w:rPr>
          <w:rFonts w:hint="eastAsia" w:ascii="宋体" w:hAnsi="宋体" w:cs="宋体"/>
          <w:color w:val="000000"/>
          <w:kern w:val="0"/>
          <w:sz w:val="21"/>
          <w:szCs w:val="21"/>
          <w:lang w:val="en-US" w:eastAsia="zh-CN" w:bidi="ar"/>
        </w:rPr>
        <w:t>16.3.3</w:t>
      </w:r>
      <w:r>
        <w:rPr>
          <w:rFonts w:hint="eastAsia"/>
          <w:color w:val="000000"/>
        </w:rPr>
        <w:t>燃料舱和处理用压力容器的焊接工艺试验</w:t>
      </w:r>
    </w:p>
    <w:p>
      <w:pPr>
        <w:pStyle w:val="5"/>
        <w:keepNext w:val="0"/>
        <w:keepLines w:val="0"/>
        <w:pageBreakBefore w:val="0"/>
        <w:numPr>
          <w:ilvl w:val="3"/>
          <w:numId w:val="0"/>
        </w:numPr>
        <w:kinsoku/>
        <w:wordWrap/>
        <w:overflowPunct/>
        <w:topLinePunct w:val="0"/>
        <w:bidi w:val="0"/>
        <w:adjustRightInd w:val="0"/>
        <w:snapToGrid w:val="0"/>
        <w:spacing w:beforeLines="0" w:line="240" w:lineRule="auto"/>
        <w:ind w:left="0" w:leftChars="0" w:firstLine="420" w:firstLineChars="200"/>
        <w:textAlignment w:val="auto"/>
        <w:rPr>
          <w:rFonts w:hint="eastAsia" w:ascii="宋体" w:hAnsi="宋体" w:eastAsia="宋体" w:cs="宋体"/>
          <w:bCs w:val="0"/>
          <w:color w:val="000000"/>
          <w:kern w:val="0"/>
          <w:sz w:val="21"/>
          <w:szCs w:val="21"/>
          <w:lang w:val="en-US" w:eastAsia="zh-CN" w:bidi="ar"/>
        </w:rPr>
      </w:pPr>
      <w:r>
        <w:rPr>
          <w:rFonts w:hint="eastAsia" w:ascii="宋体" w:hAnsi="宋体" w:eastAsia="宋体" w:cs="宋体"/>
          <w:bCs w:val="0"/>
          <w:color w:val="000000"/>
          <w:kern w:val="0"/>
          <w:sz w:val="21"/>
          <w:szCs w:val="21"/>
          <w:lang w:val="en-US" w:eastAsia="zh-CN" w:bidi="ar"/>
        </w:rPr>
        <w:t>16.3.3.5每个试验应满足下列要求：</w:t>
      </w:r>
    </w:p>
    <w:p>
      <w:pPr>
        <w:pStyle w:val="5"/>
        <w:keepNext w:val="0"/>
        <w:keepLines w:val="0"/>
        <w:pageBreakBefore w:val="0"/>
        <w:numPr>
          <w:ilvl w:val="3"/>
          <w:numId w:val="0"/>
        </w:numPr>
        <w:kinsoku/>
        <w:wordWrap/>
        <w:overflowPunct/>
        <w:topLinePunct w:val="0"/>
        <w:bidi w:val="0"/>
        <w:adjustRightInd w:val="0"/>
        <w:snapToGrid w:val="0"/>
        <w:spacing w:beforeLines="0" w:line="240" w:lineRule="auto"/>
        <w:ind w:left="1268" w:leftChars="498" w:hanging="222" w:hangingChars="106"/>
        <w:textAlignment w:val="auto"/>
        <w:rPr>
          <w:rFonts w:hint="eastAsia" w:ascii="宋体" w:hAnsi="宋体" w:eastAsia="宋体" w:cs="宋体"/>
          <w:b/>
          <w:bCs/>
          <w:color w:val="000000"/>
          <w:kern w:val="0"/>
          <w:sz w:val="21"/>
          <w:szCs w:val="21"/>
          <w:lang w:val="en-US" w:eastAsia="zh-CN" w:bidi="ar"/>
        </w:rPr>
      </w:pPr>
      <w:r>
        <w:rPr>
          <w:rFonts w:hint="eastAsia" w:ascii="宋体" w:hAnsi="宋体" w:cs="宋体"/>
          <w:bCs w:val="0"/>
          <w:color w:val="000000"/>
          <w:kern w:val="0"/>
          <w:sz w:val="21"/>
          <w:szCs w:val="21"/>
          <w:lang w:val="en-US" w:eastAsia="zh-CN" w:bidi="ar"/>
        </w:rPr>
        <w:t>.1</w:t>
      </w:r>
      <w:r>
        <w:rPr>
          <w:rFonts w:hint="eastAsia" w:ascii="宋体" w:hAnsi="宋体" w:eastAsia="宋体" w:cs="宋体"/>
          <w:bCs w:val="0"/>
          <w:color w:val="000000"/>
          <w:kern w:val="0"/>
          <w:sz w:val="21"/>
          <w:szCs w:val="21"/>
          <w:lang w:val="en-US" w:eastAsia="zh-CN" w:bidi="ar"/>
        </w:rPr>
        <w:t>拉力试验：焊缝横向抗拉强度应不低于相应母材的最低抗拉强度。对于铝合金，应参见6.4.12.1.1.3关于低匹配焊缝的焊缝金属强度要求（若焊缝金属的抗拉强度低于母材的抗拉强度）。在每种情况下，应提供试样破断位置报告以供备查；</w:t>
      </w:r>
    </w:p>
    <w:p>
      <w:pPr>
        <w:keepNext w:val="0"/>
        <w:keepLines w:val="0"/>
        <w:widowControl/>
        <w:suppressLineNumbers w:val="0"/>
        <w:ind w:firstLine="420" w:firstLineChars="200"/>
        <w:jc w:val="left"/>
        <w:rPr>
          <w:rFonts w:hint="eastAsia" w:ascii="楷体" w:hAnsi="楷体" w:eastAsia="楷体" w:cs="楷体"/>
          <w:color w:val="auto"/>
        </w:rPr>
      </w:pPr>
      <w:r>
        <w:rPr>
          <w:rFonts w:hint="eastAsia" w:ascii="楷体" w:hAnsi="楷体" w:eastAsia="楷体" w:cs="楷体"/>
          <w:color w:val="auto"/>
          <w:kern w:val="0"/>
          <w:szCs w:val="21"/>
        </w:rPr>
        <w:t>自</w:t>
      </w:r>
      <w:r>
        <w:rPr>
          <w:rFonts w:hint="eastAsia" w:ascii="楷体" w:hAnsi="楷体" w:eastAsia="楷体" w:cs="楷体"/>
          <w:color w:val="auto"/>
          <w:kern w:val="0"/>
          <w:szCs w:val="21"/>
          <w:lang w:val="en-US"/>
        </w:rPr>
        <w:t>2024</w:t>
      </w:r>
      <w:r>
        <w:rPr>
          <w:rFonts w:hint="eastAsia" w:ascii="楷体" w:hAnsi="楷体" w:eastAsia="楷体" w:cs="楷体"/>
          <w:color w:val="auto"/>
          <w:kern w:val="0"/>
          <w:szCs w:val="21"/>
        </w:rPr>
        <w:t>年</w:t>
      </w:r>
      <w:r>
        <w:rPr>
          <w:rFonts w:hint="eastAsia" w:ascii="楷体" w:hAnsi="楷体" w:eastAsia="楷体" w:cs="楷体"/>
          <w:color w:val="auto"/>
          <w:kern w:val="0"/>
          <w:szCs w:val="21"/>
          <w:lang w:val="en-US"/>
        </w:rPr>
        <w:t>1</w:t>
      </w:r>
      <w:r>
        <w:rPr>
          <w:rFonts w:hint="eastAsia" w:ascii="楷体" w:hAnsi="楷体" w:eastAsia="楷体" w:cs="楷体"/>
          <w:color w:val="auto"/>
          <w:kern w:val="0"/>
          <w:szCs w:val="21"/>
        </w:rPr>
        <w:t>月</w:t>
      </w:r>
      <w:r>
        <w:rPr>
          <w:rFonts w:hint="eastAsia" w:ascii="楷体" w:hAnsi="楷体" w:eastAsia="楷体" w:cs="楷体"/>
          <w:color w:val="auto"/>
          <w:kern w:val="0"/>
          <w:szCs w:val="21"/>
          <w:lang w:val="en-US"/>
        </w:rPr>
        <w:t>1</w:t>
      </w:r>
      <w:r>
        <w:rPr>
          <w:rFonts w:hint="eastAsia" w:ascii="楷体" w:hAnsi="楷体" w:eastAsia="楷体" w:cs="楷体"/>
          <w:color w:val="auto"/>
          <w:kern w:val="0"/>
          <w:szCs w:val="21"/>
        </w:rPr>
        <w:t>日</w:t>
      </w:r>
      <w:r>
        <w:rPr>
          <w:rFonts w:hint="eastAsia" w:ascii="楷体" w:hAnsi="楷体" w:eastAsia="楷体" w:cs="楷体"/>
          <w:color w:val="auto"/>
          <w:kern w:val="0"/>
          <w:szCs w:val="21"/>
          <w:lang w:val="en-US"/>
        </w:rPr>
        <w:t>起，</w:t>
      </w:r>
      <w:r>
        <w:rPr>
          <w:rFonts w:hint="eastAsia" w:ascii="楷体" w:hAnsi="楷体" w:eastAsia="楷体" w:cs="楷体"/>
          <w:color w:val="auto"/>
          <w:kern w:val="0"/>
          <w:szCs w:val="21"/>
          <w:lang w:val="en-US" w:eastAsia="zh-CN"/>
        </w:rPr>
        <w:t xml:space="preserve">原16.3.3.5.1 改为： </w:t>
      </w:r>
    </w:p>
    <w:p>
      <w:pPr>
        <w:keepNext w:val="0"/>
        <w:keepLines w:val="0"/>
        <w:pageBreakBefore w:val="0"/>
        <w:widowControl/>
        <w:suppressLineNumbers w:val="0"/>
        <w:kinsoku/>
        <w:wordWrap/>
        <w:overflowPunct/>
        <w:topLinePunct w:val="0"/>
        <w:autoSpaceDE/>
        <w:autoSpaceDN/>
        <w:bidi w:val="0"/>
        <w:adjustRightInd w:val="0"/>
        <w:snapToGrid w:val="0"/>
        <w:ind w:left="1255" w:leftChars="400" w:hanging="415" w:hangingChars="198"/>
        <w:jc w:val="left"/>
        <w:textAlignment w:val="auto"/>
      </w:pPr>
      <w:r>
        <w:rPr>
          <w:rFonts w:hint="eastAsia" w:ascii="宋体" w:hAnsi="宋体" w:eastAsia="宋体" w:cs="宋体"/>
          <w:color w:val="000000"/>
          <w:kern w:val="0"/>
          <w:sz w:val="21"/>
          <w:szCs w:val="21"/>
          <w:lang w:val="en-US" w:eastAsia="zh-CN" w:bidi="ar"/>
        </w:rPr>
        <w:t>“</w:t>
      </w:r>
      <w:r>
        <w:rPr>
          <w:rFonts w:hint="default" w:ascii="Times New Roman" w:hAnsi="Times New Roman" w:eastAsia="宋体" w:cs="Times New Roman"/>
          <w:color w:val="FF0000"/>
          <w:kern w:val="0"/>
          <w:sz w:val="21"/>
          <w:szCs w:val="21"/>
          <w:u w:val="single"/>
          <w:lang w:val="en-US" w:eastAsia="zh-CN" w:bidi="ar"/>
        </w:rPr>
        <w:t xml:space="preserve">.1 </w:t>
      </w:r>
      <w:r>
        <w:rPr>
          <w:rFonts w:hint="eastAsia" w:ascii="宋体" w:hAnsi="宋体" w:eastAsia="宋体" w:cs="宋体"/>
          <w:color w:val="FF0000"/>
          <w:kern w:val="0"/>
          <w:sz w:val="21"/>
          <w:szCs w:val="21"/>
          <w:u w:val="single"/>
          <w:lang w:val="en-US" w:eastAsia="zh-CN" w:bidi="ar"/>
        </w:rPr>
        <w:t>拉力试验：焊缝横向抗拉强度应不低于相应母材的最低抗拉强度。对于例如铝合金的材料，应参见</w:t>
      </w:r>
      <w:r>
        <w:rPr>
          <w:rFonts w:hint="default" w:ascii="Times New Roman" w:hAnsi="Times New Roman" w:eastAsia="宋体" w:cs="Times New Roman"/>
          <w:color w:val="FF0000"/>
          <w:kern w:val="0"/>
          <w:sz w:val="21"/>
          <w:szCs w:val="21"/>
          <w:u w:val="single"/>
          <w:lang w:val="en-US" w:eastAsia="zh-CN" w:bidi="ar"/>
        </w:rPr>
        <w:t>6.4.12.1.1.3</w:t>
      </w:r>
      <w:r>
        <w:rPr>
          <w:rFonts w:hint="eastAsia" w:ascii="宋体" w:hAnsi="宋体" w:eastAsia="宋体" w:cs="宋体"/>
          <w:color w:val="FF0000"/>
          <w:kern w:val="0"/>
          <w:sz w:val="21"/>
          <w:szCs w:val="21"/>
          <w:u w:val="single"/>
          <w:lang w:val="en-US" w:eastAsia="zh-CN" w:bidi="ar"/>
        </w:rPr>
        <w:t>关于低匹配焊缝的焊缝金属强度要求（若焊缝金属的抗拉强度低于母材的抗拉强度）。在每种情况下，应提供试样破断位置报告以供备查；</w:t>
      </w:r>
      <w:r>
        <w:rPr>
          <w:rFonts w:hint="eastAsia" w:ascii="宋体" w:hAnsi="宋体" w:eastAsia="宋体" w:cs="宋体"/>
          <w:color w:val="000000"/>
          <w:kern w:val="0"/>
          <w:sz w:val="21"/>
          <w:szCs w:val="21"/>
          <w:lang w:val="en-US" w:eastAsia="zh-CN" w:bidi="ar"/>
        </w:rPr>
        <w:t xml:space="preserve">” </w:t>
      </w:r>
    </w:p>
    <w:p>
      <w:pPr>
        <w:keepNext w:val="0"/>
        <w:keepLines w:val="0"/>
        <w:pageBreakBefore w:val="0"/>
        <w:widowControl w:val="0"/>
        <w:kinsoku/>
        <w:wordWrap/>
        <w:overflowPunct/>
        <w:topLinePunct w:val="0"/>
        <w:autoSpaceDE/>
        <w:autoSpaceDN/>
        <w:bidi w:val="0"/>
        <w:adjustRightInd w:val="0"/>
        <w:snapToGrid w:val="0"/>
        <w:ind w:firstLine="420" w:firstLineChars="200"/>
        <w:textAlignment w:val="auto"/>
        <w:rPr>
          <w:rFonts w:hint="default" w:ascii="Times New Roman" w:hAnsi="Times New Roman" w:eastAsia="楷体" w:cs="Times New Roman"/>
          <w:snapToGrid w:val="0"/>
          <w:color w:val="0000FF"/>
          <w:kern w:val="0"/>
          <w:szCs w:val="21"/>
        </w:rPr>
      </w:pPr>
    </w:p>
    <w:p>
      <w:pPr>
        <w:pStyle w:val="14"/>
        <w:ind w:firstLine="420" w:firstLineChars="200"/>
        <w:jc w:val="both"/>
        <w:outlineLvl w:val="3"/>
        <w:rPr>
          <w:rFonts w:hint="eastAsia" w:ascii="Times New Roman" w:hAnsi="Times New Roman" w:eastAsia="黑体" w:cs="Times New Roman"/>
          <w:bCs/>
          <w:kern w:val="2"/>
          <w:sz w:val="21"/>
          <w:szCs w:val="21"/>
          <w:lang w:val="en-US" w:eastAsia="zh-CN" w:bidi="ar-SA"/>
        </w:rPr>
      </w:pPr>
      <w:bookmarkStart w:id="40" w:name="_Toc439944703"/>
      <w:r>
        <w:rPr>
          <w:rFonts w:hint="eastAsia" w:ascii="Times New Roman" w:hAnsi="Times New Roman" w:eastAsia="黑体" w:cs="Times New Roman"/>
          <w:bCs/>
          <w:kern w:val="2"/>
          <w:sz w:val="21"/>
          <w:szCs w:val="21"/>
          <w:lang w:val="en-US" w:eastAsia="zh-CN" w:bidi="ar-SA"/>
        </w:rPr>
        <w:t>16.7试验要求</w:t>
      </w:r>
      <w:bookmarkEnd w:id="40"/>
    </w:p>
    <w:p>
      <w:pPr>
        <w:pStyle w:val="14"/>
        <w:ind w:firstLine="420" w:firstLineChars="200"/>
        <w:jc w:val="both"/>
        <w:outlineLvl w:val="3"/>
        <w:rPr>
          <w:rFonts w:hint="eastAsia" w:ascii="Times New Roman" w:hAnsi="Times New Roman" w:eastAsia="黑体" w:cs="Times New Roman"/>
          <w:bCs/>
          <w:kern w:val="2"/>
          <w:sz w:val="21"/>
          <w:szCs w:val="21"/>
          <w:lang w:val="en-US" w:eastAsia="zh-CN" w:bidi="ar-SA"/>
        </w:rPr>
      </w:pPr>
    </w:p>
    <w:p>
      <w:pPr>
        <w:keepNext w:val="0"/>
        <w:keepLines w:val="0"/>
        <w:pageBreakBefore w:val="0"/>
        <w:widowControl/>
        <w:suppressLineNumbers w:val="0"/>
        <w:kinsoku/>
        <w:wordWrap/>
        <w:overflowPunct/>
        <w:topLinePunct w:val="0"/>
        <w:bidi w:val="0"/>
        <w:adjustRightInd w:val="0"/>
        <w:snapToGrid w:val="0"/>
        <w:spacing w:line="240" w:lineRule="auto"/>
        <w:ind w:left="0" w:leftChars="0" w:firstLine="420" w:firstLineChars="200"/>
        <w:jc w:val="left"/>
        <w:textAlignment w:val="auto"/>
        <w:rPr>
          <w:rFonts w:hint="eastAsia" w:ascii="宋体" w:hAnsi="宋体" w:cs="宋体"/>
          <w:color w:val="000000"/>
          <w:kern w:val="0"/>
          <w:sz w:val="21"/>
          <w:szCs w:val="21"/>
          <w:lang w:val="en-US" w:eastAsia="zh-CN" w:bidi="ar"/>
        </w:rPr>
      </w:pPr>
      <w:r>
        <w:rPr>
          <w:rFonts w:hint="eastAsia" w:ascii="宋体" w:hAnsi="宋体" w:cs="宋体"/>
          <w:color w:val="000000"/>
          <w:kern w:val="0"/>
          <w:sz w:val="21"/>
          <w:szCs w:val="21"/>
          <w:lang w:val="en-US" w:eastAsia="zh-CN" w:bidi="ar"/>
        </w:rPr>
        <w:t>16.7.2波纹管膨胀接头</w:t>
      </w:r>
    </w:p>
    <w:p>
      <w:pPr>
        <w:keepNext w:val="0"/>
        <w:keepLines w:val="0"/>
        <w:pageBreakBefore w:val="0"/>
        <w:widowControl/>
        <w:suppressLineNumbers w:val="0"/>
        <w:kinsoku/>
        <w:wordWrap/>
        <w:overflowPunct/>
        <w:topLinePunct w:val="0"/>
        <w:bidi w:val="0"/>
        <w:adjustRightInd w:val="0"/>
        <w:snapToGrid w:val="0"/>
        <w:spacing w:line="240" w:lineRule="auto"/>
        <w:ind w:left="0" w:leftChars="0" w:firstLine="420" w:firstLineChars="200"/>
        <w:jc w:val="left"/>
        <w:textAlignment w:val="auto"/>
        <w:rPr>
          <w:rFonts w:hint="eastAsia" w:ascii="楷体" w:hAnsi="楷体" w:eastAsia="楷体" w:cs="楷体"/>
          <w:color w:val="000000"/>
          <w:kern w:val="0"/>
          <w:sz w:val="21"/>
          <w:szCs w:val="21"/>
          <w:lang w:val="en-US" w:eastAsia="zh-CN" w:bidi="ar"/>
        </w:rPr>
      </w:pPr>
      <w:r>
        <w:rPr>
          <w:rFonts w:hint="eastAsia" w:ascii="楷体" w:hAnsi="楷体" w:eastAsia="楷体" w:cs="楷体"/>
          <w:color w:val="000000"/>
          <w:kern w:val="0"/>
          <w:sz w:val="21"/>
          <w:szCs w:val="21"/>
          <w:lang w:val="en-US" w:eastAsia="zh-CN" w:bidi="ar"/>
        </w:rPr>
        <w:t>原16.7.2第句1改为：</w:t>
      </w:r>
    </w:p>
    <w:p>
      <w:pPr>
        <w:keepNext w:val="0"/>
        <w:keepLines w:val="0"/>
        <w:pageBreakBefore w:val="0"/>
        <w:widowControl/>
        <w:suppressLineNumbers w:val="0"/>
        <w:kinsoku/>
        <w:wordWrap/>
        <w:overflowPunct/>
        <w:topLinePunct w:val="0"/>
        <w:bidi w:val="0"/>
        <w:adjustRightInd w:val="0"/>
        <w:snapToGrid w:val="0"/>
        <w:spacing w:line="240" w:lineRule="auto"/>
        <w:ind w:left="0" w:leftChars="0" w:firstLine="420" w:firstLineChars="200"/>
        <w:jc w:val="left"/>
        <w:textAlignment w:val="auto"/>
        <w:rPr>
          <w:rFonts w:hint="eastAsia" w:ascii="Times New Roman" w:hAnsi="Times New Roman" w:cs="Times New Roman"/>
          <w:color w:val="000000"/>
          <w:kern w:val="0"/>
          <w:szCs w:val="21"/>
        </w:rPr>
      </w:pPr>
      <w:r>
        <w:rPr>
          <w:rFonts w:hint="eastAsia" w:ascii="Times New Roman" w:hAnsi="Times New Roman" w:cs="Times New Roman"/>
          <w:color w:val="000000"/>
          <w:kern w:val="0"/>
          <w:szCs w:val="21"/>
          <w:lang w:eastAsia="zh-CN"/>
        </w:rPr>
        <w:t>“</w:t>
      </w:r>
      <w:r>
        <w:rPr>
          <w:rFonts w:hint="eastAsia" w:ascii="Times New Roman" w:hAnsi="Times New Roman" w:cs="Times New Roman"/>
          <w:color w:val="000000"/>
          <w:kern w:val="0"/>
          <w:szCs w:val="21"/>
        </w:rPr>
        <w:t>对于</w:t>
      </w:r>
      <w:r>
        <w:rPr>
          <w:rFonts w:ascii="Times New Roman" w:hAnsi="Times New Roman" w:cs="Times New Roman"/>
          <w:color w:val="000000"/>
          <w:kern w:val="0"/>
          <w:szCs w:val="21"/>
        </w:rPr>
        <w:t>7.3.6.4.3.1</w:t>
      </w:r>
      <w:r>
        <w:rPr>
          <w:rFonts w:hint="eastAsia" w:ascii="Times New Roman" w:hAnsi="Times New Roman" w:cs="Times New Roman"/>
          <w:color w:val="FF0000"/>
          <w:kern w:val="0"/>
          <w:szCs w:val="21"/>
          <w:u w:val="single"/>
          <w:lang w:val="en-US" w:eastAsia="zh-CN"/>
        </w:rPr>
        <w:t>和</w:t>
      </w:r>
      <w:r>
        <w:rPr>
          <w:rFonts w:ascii="Times New Roman" w:hAnsi="Times New Roman" w:cs="Times New Roman"/>
          <w:color w:val="000000"/>
          <w:kern w:val="0"/>
          <w:szCs w:val="21"/>
        </w:rPr>
        <w:t>.3</w:t>
      </w:r>
      <w:r>
        <w:rPr>
          <w:rFonts w:hint="eastAsia" w:ascii="Times New Roman" w:hAnsi="Times New Roman" w:cs="Times New Roman"/>
          <w:color w:val="000000"/>
          <w:kern w:val="0"/>
          <w:szCs w:val="21"/>
        </w:rPr>
        <w:t>适用</w:t>
      </w:r>
      <w:r>
        <w:rPr>
          <w:rFonts w:ascii="Times New Roman" w:hAnsi="Times New Roman" w:cs="Times New Roman"/>
          <w:color w:val="000000"/>
          <w:kern w:val="0"/>
          <w:szCs w:val="21"/>
        </w:rPr>
        <w:t>的</w:t>
      </w:r>
      <w:r>
        <w:rPr>
          <w:rFonts w:hint="eastAsia" w:ascii="Times New Roman" w:hAnsi="Times New Roman" w:cs="Times New Roman"/>
          <w:color w:val="000000"/>
          <w:kern w:val="0"/>
          <w:szCs w:val="21"/>
        </w:rPr>
        <w:t>燃料舱外部的燃料管路上的每种波纹管膨胀接头如主管机关有要求时，应对设置在燃料舱内的波纹管膨胀接头进行下列型式的试验：</w:t>
      </w:r>
    </w:p>
    <w:p>
      <w:pPr>
        <w:keepNext w:val="0"/>
        <w:keepLines w:val="0"/>
        <w:pageBreakBefore w:val="0"/>
        <w:widowControl/>
        <w:suppressLineNumbers w:val="0"/>
        <w:kinsoku/>
        <w:wordWrap/>
        <w:overflowPunct/>
        <w:topLinePunct w:val="0"/>
        <w:bidi w:val="0"/>
        <w:adjustRightInd w:val="0"/>
        <w:snapToGrid w:val="0"/>
        <w:spacing w:line="240" w:lineRule="auto"/>
        <w:ind w:left="0" w:leftChars="0" w:firstLine="420" w:firstLineChars="200"/>
        <w:jc w:val="left"/>
        <w:textAlignment w:val="auto"/>
        <w:rPr>
          <w:rFonts w:hint="default" w:ascii="Times New Roman" w:hAnsi="Times New Roman" w:cs="Times New Roman"/>
          <w:color w:val="000000"/>
          <w:kern w:val="0"/>
          <w:szCs w:val="21"/>
          <w:lang w:val="en-US" w:eastAsia="zh-CN"/>
        </w:rPr>
      </w:pPr>
      <w:r>
        <w:rPr>
          <w:rFonts w:hint="eastAsia" w:ascii="Times New Roman" w:hAnsi="Times New Roman" w:cs="Times New Roman"/>
          <w:color w:val="000000"/>
          <w:kern w:val="0"/>
          <w:szCs w:val="21"/>
          <w:lang w:val="en-US" w:eastAsia="zh-CN"/>
        </w:rPr>
        <w:t>.........</w:t>
      </w:r>
      <w:r>
        <w:rPr>
          <w:rFonts w:hint="default" w:ascii="Times New Roman" w:hAnsi="Times New Roman" w:cs="Times New Roman"/>
          <w:color w:val="000000"/>
          <w:kern w:val="0"/>
          <w:szCs w:val="21"/>
          <w:lang w:val="en-US" w:eastAsia="zh-CN"/>
        </w:rPr>
        <w:t>”</w:t>
      </w:r>
    </w:p>
    <w:p>
      <w:pPr>
        <w:pStyle w:val="14"/>
        <w:ind w:firstLine="420" w:firstLineChars="200"/>
        <w:jc w:val="both"/>
        <w:outlineLvl w:val="3"/>
        <w:rPr>
          <w:rFonts w:hint="eastAsia" w:ascii="Times New Roman" w:hAnsi="Times New Roman" w:eastAsia="黑体" w:cs="Times New Roman"/>
          <w:bCs/>
          <w:kern w:val="2"/>
          <w:sz w:val="21"/>
          <w:szCs w:val="21"/>
          <w:lang w:val="en-US" w:eastAsia="zh-CN" w:bidi="ar-SA"/>
        </w:rPr>
      </w:pPr>
    </w:p>
    <w:p>
      <w:pPr>
        <w:keepNext w:val="0"/>
        <w:keepLines w:val="0"/>
        <w:pageBreakBefore w:val="0"/>
        <w:widowControl/>
        <w:suppressLineNumbers w:val="0"/>
        <w:kinsoku/>
        <w:wordWrap/>
        <w:overflowPunct/>
        <w:topLinePunct w:val="0"/>
        <w:bidi w:val="0"/>
        <w:adjustRightInd w:val="0"/>
        <w:snapToGrid w:val="0"/>
        <w:spacing w:line="240" w:lineRule="auto"/>
        <w:ind w:left="0" w:leftChars="0" w:firstLine="420" w:firstLineChars="200"/>
        <w:jc w:val="left"/>
        <w:textAlignment w:val="auto"/>
        <w:rPr>
          <w:rFonts w:hint="eastAsia" w:ascii="宋体" w:hAnsi="宋体" w:cs="宋体"/>
          <w:color w:val="000000"/>
          <w:kern w:val="0"/>
          <w:sz w:val="21"/>
          <w:szCs w:val="21"/>
          <w:lang w:val="en-US" w:eastAsia="zh-CN" w:bidi="ar"/>
        </w:rPr>
      </w:pPr>
      <w:r>
        <w:rPr>
          <w:rFonts w:hint="eastAsia" w:ascii="宋体" w:hAnsi="宋体" w:cs="宋体"/>
          <w:color w:val="000000"/>
          <w:kern w:val="0"/>
          <w:sz w:val="21"/>
          <w:szCs w:val="21"/>
          <w:lang w:val="en-US" w:eastAsia="zh-CN" w:bidi="ar"/>
        </w:rPr>
        <w:t>16.7.3系统试验要求</w:t>
      </w:r>
    </w:p>
    <w:p>
      <w:pPr>
        <w:keepNext w:val="0"/>
        <w:keepLines w:val="0"/>
        <w:pageBreakBefore w:val="0"/>
        <w:widowControl/>
        <w:suppressLineNumbers w:val="0"/>
        <w:kinsoku/>
        <w:wordWrap/>
        <w:overflowPunct/>
        <w:topLinePunct w:val="0"/>
        <w:bidi w:val="0"/>
        <w:adjustRightInd w:val="0"/>
        <w:snapToGrid w:val="0"/>
        <w:spacing w:line="240" w:lineRule="auto"/>
        <w:ind w:left="0" w:leftChars="0" w:firstLine="420" w:firstLineChars="200"/>
        <w:jc w:val="left"/>
        <w:textAlignment w:val="auto"/>
        <w:rPr>
          <w:rFonts w:hint="default" w:ascii="宋体" w:hAnsi="宋体" w:cs="宋体"/>
          <w:color w:val="000000"/>
          <w:kern w:val="0"/>
          <w:sz w:val="21"/>
          <w:szCs w:val="21"/>
          <w:lang w:val="en-US" w:eastAsia="zh-CN" w:bidi="ar"/>
        </w:rPr>
      </w:pPr>
      <w:r>
        <w:rPr>
          <w:rFonts w:hint="eastAsia" w:ascii="楷体" w:hAnsi="楷体" w:eastAsia="楷体" w:cs="楷体"/>
          <w:color w:val="000000"/>
          <w:kern w:val="0"/>
          <w:sz w:val="21"/>
          <w:szCs w:val="21"/>
          <w:lang w:val="en-US" w:eastAsia="zh-CN" w:bidi="ar"/>
        </w:rPr>
        <w:t>原16.7.3.7改为：</w:t>
      </w:r>
    </w:p>
    <w:p>
      <w:pPr>
        <w:keepNext w:val="0"/>
        <w:keepLines w:val="0"/>
        <w:pageBreakBefore w:val="0"/>
        <w:widowControl/>
        <w:suppressLineNumbers w:val="0"/>
        <w:kinsoku/>
        <w:wordWrap/>
        <w:overflowPunct/>
        <w:topLinePunct w:val="0"/>
        <w:bidi w:val="0"/>
        <w:adjustRightInd w:val="0"/>
        <w:snapToGrid w:val="0"/>
        <w:spacing w:line="240" w:lineRule="auto"/>
        <w:ind w:left="0" w:leftChars="0" w:firstLine="420" w:firstLineChars="200"/>
        <w:jc w:val="left"/>
        <w:textAlignment w:val="auto"/>
        <w:rPr>
          <w:rFonts w:hint="eastAsia" w:ascii="宋体" w:hAnsi="宋体" w:eastAsia="宋体" w:cs="宋体"/>
          <w:bCs w:val="0"/>
          <w:color w:val="000000"/>
          <w:kern w:val="0"/>
          <w:sz w:val="21"/>
          <w:szCs w:val="21"/>
          <w:lang w:val="en-US" w:eastAsia="zh-CN" w:bidi="ar"/>
        </w:rPr>
      </w:pPr>
      <w:r>
        <w:rPr>
          <w:rFonts w:hint="eastAsia" w:ascii="宋体" w:hAnsi="宋体" w:cs="宋体"/>
          <w:color w:val="000000"/>
          <w:kern w:val="0"/>
          <w:sz w:val="21"/>
          <w:szCs w:val="21"/>
          <w:lang w:val="en-US" w:eastAsia="zh-CN" w:bidi="ar"/>
        </w:rPr>
        <w:t>“16.7.3.7  8.5.8和15.4.2.2中所述的阀的关闭时间（即从开始激发关闭信号至阀完全关闭的时间）应不大于</w:t>
      </w:r>
      <w:r>
        <w:rPr>
          <w:rFonts w:hint="eastAsia" w:ascii="宋体" w:hAnsi="宋体" w:cs="宋体"/>
          <w:color w:val="FF0000"/>
          <w:kern w:val="0"/>
          <w:sz w:val="21"/>
          <w:szCs w:val="21"/>
          <w:u w:val="single"/>
          <w:lang w:val="en-US" w:eastAsia="zh-CN" w:bidi="ar"/>
        </w:rPr>
        <w:t>下式计算值或</w:t>
      </w:r>
      <w:r>
        <w:rPr>
          <w:rFonts w:hint="default" w:ascii="宋体" w:hAnsi="宋体" w:cs="宋体"/>
          <w:color w:val="FF0000"/>
          <w:kern w:val="0"/>
          <w:sz w:val="21"/>
          <w:szCs w:val="21"/>
          <w:u w:val="single"/>
          <w:lang w:val="en-US" w:eastAsia="zh-CN" w:bidi="ar"/>
        </w:rPr>
        <w:t>5</w:t>
      </w:r>
      <w:r>
        <w:rPr>
          <w:rFonts w:hint="eastAsia" w:ascii="宋体" w:hAnsi="宋体" w:cs="宋体"/>
          <w:color w:val="FF0000"/>
          <w:kern w:val="0"/>
          <w:sz w:val="21"/>
          <w:szCs w:val="21"/>
          <w:u w:val="single"/>
          <w:lang w:val="en-US" w:eastAsia="zh-CN" w:bidi="ar"/>
        </w:rPr>
        <w:t>秒，取小者</w:t>
      </w:r>
      <w:r>
        <w:rPr>
          <w:rFonts w:hint="eastAsia" w:ascii="宋体" w:hAnsi="宋体" w:eastAsia="宋体" w:cs="宋体"/>
          <w:bCs w:val="0"/>
          <w:color w:val="000000"/>
          <w:kern w:val="0"/>
          <w:sz w:val="21"/>
          <w:szCs w:val="21"/>
          <w:lang w:val="en-US" w:eastAsia="zh-CN" w:bidi="ar"/>
        </w:rPr>
        <w:t>：</w:t>
      </w:r>
    </w:p>
    <w:p>
      <w:pPr>
        <w:spacing w:line="360" w:lineRule="auto"/>
        <w:ind w:left="0" w:leftChars="0" w:firstLine="0" w:firstLineChars="0"/>
        <w:jc w:val="center"/>
        <w:textAlignment w:val="center"/>
        <w:rPr>
          <w:rFonts w:ascii="Times New Roman" w:hAnsi="Times New Roman" w:cs="Times New Roman"/>
          <w:color w:val="000000"/>
          <w:kern w:val="0"/>
          <w:szCs w:val="21"/>
        </w:rPr>
      </w:pPr>
      <w:r>
        <w:rPr>
          <w:rFonts w:ascii="Times New Roman" w:hAnsi="Times New Roman" w:cs="Times New Roman"/>
          <w:color w:val="000000"/>
          <w:kern w:val="0"/>
          <w:szCs w:val="21"/>
        </w:rPr>
        <w:drawing>
          <wp:inline distT="0" distB="0" distL="114300" distR="114300">
            <wp:extent cx="405765" cy="333375"/>
            <wp:effectExtent l="0" t="0" r="635" b="10160"/>
            <wp:docPr id="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
                    <pic:cNvPicPr>
                      <a:picLocks noChangeAspect="1"/>
                    </pic:cNvPicPr>
                  </pic:nvPicPr>
                  <pic:blipFill>
                    <a:blip r:embed="rId8"/>
                    <a:stretch>
                      <a:fillRect/>
                    </a:stretch>
                  </pic:blipFill>
                  <pic:spPr>
                    <a:xfrm>
                      <a:off x="0" y="0"/>
                      <a:ext cx="405765" cy="333375"/>
                    </a:xfrm>
                    <a:prstGeom prst="rect">
                      <a:avLst/>
                    </a:prstGeom>
                    <a:noFill/>
                    <a:ln>
                      <a:noFill/>
                    </a:ln>
                  </pic:spPr>
                </pic:pic>
              </a:graphicData>
            </a:graphic>
          </wp:inline>
        </w:drawing>
      </w:r>
      <w:r>
        <w:rPr>
          <w:rFonts w:hint="eastAsia" w:ascii="Times New Roman" w:hAnsi="Times New Roman" w:cs="Times New Roman"/>
          <w:color w:val="000000"/>
          <w:kern w:val="0"/>
          <w:szCs w:val="21"/>
        </w:rPr>
        <w:t xml:space="preserve">  （秒）</w:t>
      </w:r>
    </w:p>
    <w:p>
      <w:pPr>
        <w:pStyle w:val="5"/>
        <w:keepNext w:val="0"/>
        <w:keepLines w:val="0"/>
        <w:pageBreakBefore w:val="0"/>
        <w:numPr>
          <w:ilvl w:val="3"/>
          <w:numId w:val="0"/>
        </w:numPr>
        <w:kinsoku/>
        <w:wordWrap/>
        <w:overflowPunct/>
        <w:topLinePunct w:val="0"/>
        <w:bidi w:val="0"/>
        <w:adjustRightInd w:val="0"/>
        <w:snapToGrid w:val="0"/>
        <w:spacing w:beforeLines="0" w:line="240" w:lineRule="auto"/>
        <w:ind w:left="0" w:leftChars="0" w:firstLine="420" w:firstLineChars="200"/>
        <w:textAlignment w:val="auto"/>
        <w:rPr>
          <w:rFonts w:hint="eastAsia" w:ascii="宋体" w:hAnsi="宋体" w:eastAsia="宋体" w:cs="宋体"/>
          <w:bCs w:val="0"/>
          <w:color w:val="000000"/>
          <w:kern w:val="0"/>
          <w:sz w:val="21"/>
          <w:szCs w:val="21"/>
          <w:lang w:val="en-US" w:eastAsia="zh-CN" w:bidi="ar"/>
        </w:rPr>
      </w:pPr>
      <w:r>
        <w:rPr>
          <w:rFonts w:hint="eastAsia" w:ascii="宋体" w:hAnsi="宋体" w:eastAsia="宋体" w:cs="宋体"/>
          <w:bCs w:val="0"/>
          <w:color w:val="000000"/>
          <w:kern w:val="0"/>
          <w:sz w:val="21"/>
          <w:szCs w:val="21"/>
          <w:lang w:val="en-US" w:eastAsia="zh-CN" w:bidi="ar"/>
        </w:rPr>
        <w:t>式中：</w:t>
      </w:r>
    </w:p>
    <w:p>
      <w:pPr>
        <w:pStyle w:val="5"/>
        <w:keepNext w:val="0"/>
        <w:keepLines w:val="0"/>
        <w:pageBreakBefore w:val="0"/>
        <w:numPr>
          <w:ilvl w:val="3"/>
          <w:numId w:val="0"/>
        </w:numPr>
        <w:kinsoku/>
        <w:wordWrap/>
        <w:overflowPunct/>
        <w:topLinePunct w:val="0"/>
        <w:bidi w:val="0"/>
        <w:adjustRightInd w:val="0"/>
        <w:snapToGrid w:val="0"/>
        <w:spacing w:beforeLines="0" w:line="240" w:lineRule="auto"/>
        <w:ind w:left="0" w:leftChars="0" w:firstLine="420" w:firstLineChars="200"/>
        <w:textAlignment w:val="auto"/>
        <w:rPr>
          <w:rFonts w:hint="eastAsia" w:ascii="宋体" w:hAnsi="宋体" w:eastAsia="宋体" w:cs="宋体"/>
          <w:bCs w:val="0"/>
          <w:color w:val="000000"/>
          <w:kern w:val="0"/>
          <w:sz w:val="21"/>
          <w:szCs w:val="21"/>
          <w:lang w:val="en-US" w:eastAsia="zh-CN" w:bidi="ar"/>
        </w:rPr>
      </w:pPr>
      <w:r>
        <w:rPr>
          <w:rFonts w:hint="eastAsia" w:ascii="宋体" w:hAnsi="宋体" w:eastAsia="宋体" w:cs="宋体"/>
          <w:bCs w:val="0"/>
          <w:i/>
          <w:iCs/>
          <w:color w:val="000000"/>
          <w:kern w:val="0"/>
          <w:sz w:val="21"/>
          <w:szCs w:val="21"/>
          <w:u w:val="none"/>
          <w:lang w:val="en-US" w:eastAsia="zh-CN" w:bidi="ar"/>
        </w:rPr>
        <w:t>U</w:t>
      </w:r>
      <w:r>
        <w:rPr>
          <w:rFonts w:hint="eastAsia" w:ascii="宋体" w:hAnsi="宋体" w:eastAsia="宋体" w:cs="宋体"/>
          <w:bCs w:val="0"/>
          <w:color w:val="000000"/>
          <w:kern w:val="0"/>
          <w:sz w:val="21"/>
          <w:szCs w:val="21"/>
          <w:lang w:val="en-US" w:eastAsia="zh-CN" w:bidi="ar"/>
        </w:rPr>
        <w:t>—</w:t>
      </w:r>
      <w:bookmarkStart w:id="41" w:name="OLE_LINK21"/>
      <w:bookmarkStart w:id="42" w:name="OLE_LINK22"/>
      <w:r>
        <w:rPr>
          <w:rFonts w:hint="eastAsia" w:ascii="宋体" w:hAnsi="宋体" w:eastAsia="宋体" w:cs="宋体"/>
          <w:bCs w:val="0"/>
          <w:color w:val="000000"/>
          <w:kern w:val="0"/>
          <w:sz w:val="21"/>
          <w:szCs w:val="21"/>
          <w:lang w:val="en-US" w:eastAsia="zh-CN" w:bidi="ar"/>
        </w:rPr>
        <w:t>发出操作信号时</w:t>
      </w:r>
      <w:bookmarkEnd w:id="41"/>
      <w:bookmarkEnd w:id="42"/>
      <w:r>
        <w:rPr>
          <w:rFonts w:hint="eastAsia" w:ascii="宋体" w:hAnsi="宋体" w:eastAsia="宋体" w:cs="宋体"/>
          <w:bCs w:val="0"/>
          <w:color w:val="000000"/>
          <w:kern w:val="0"/>
          <w:sz w:val="21"/>
          <w:szCs w:val="21"/>
          <w:lang w:val="en-US" w:eastAsia="zh-CN" w:bidi="ar"/>
        </w:rPr>
        <w:t>舱内液面以上的容积，（m</w:t>
      </w:r>
      <w:r>
        <w:rPr>
          <w:rFonts w:hint="eastAsia" w:ascii="宋体" w:hAnsi="宋体" w:eastAsia="宋体" w:cs="宋体"/>
          <w:bCs w:val="0"/>
          <w:color w:val="000000"/>
          <w:kern w:val="0"/>
          <w:sz w:val="21"/>
          <w:szCs w:val="21"/>
          <w:vertAlign w:val="superscript"/>
          <w:lang w:val="en-US" w:eastAsia="zh-CN" w:bidi="ar"/>
        </w:rPr>
        <w:t>3</w:t>
      </w:r>
      <w:r>
        <w:rPr>
          <w:rFonts w:hint="eastAsia" w:ascii="宋体" w:hAnsi="宋体" w:eastAsia="宋体" w:cs="宋体"/>
          <w:bCs w:val="0"/>
          <w:color w:val="000000"/>
          <w:kern w:val="0"/>
          <w:sz w:val="21"/>
          <w:szCs w:val="21"/>
          <w:lang w:val="en-US" w:eastAsia="zh-CN" w:bidi="ar"/>
        </w:rPr>
        <w:t xml:space="preserve">）； </w:t>
      </w:r>
    </w:p>
    <w:p>
      <w:pPr>
        <w:pStyle w:val="5"/>
        <w:keepNext w:val="0"/>
        <w:keepLines w:val="0"/>
        <w:pageBreakBefore w:val="0"/>
        <w:numPr>
          <w:ilvl w:val="3"/>
          <w:numId w:val="0"/>
        </w:numPr>
        <w:kinsoku/>
        <w:wordWrap/>
        <w:overflowPunct/>
        <w:topLinePunct w:val="0"/>
        <w:bidi w:val="0"/>
        <w:adjustRightInd w:val="0"/>
        <w:snapToGrid w:val="0"/>
        <w:spacing w:beforeLines="0" w:line="240" w:lineRule="auto"/>
        <w:ind w:left="0" w:leftChars="0" w:firstLine="420" w:firstLineChars="200"/>
        <w:textAlignment w:val="auto"/>
        <w:rPr>
          <w:rFonts w:hint="eastAsia" w:ascii="宋体" w:hAnsi="宋体" w:eastAsia="宋体" w:cs="宋体"/>
          <w:bCs w:val="0"/>
          <w:color w:val="000000"/>
          <w:kern w:val="0"/>
          <w:sz w:val="21"/>
          <w:szCs w:val="21"/>
          <w:lang w:val="en-US" w:eastAsia="zh-CN" w:bidi="ar"/>
        </w:rPr>
      </w:pPr>
      <w:r>
        <w:rPr>
          <w:rFonts w:hint="eastAsia" w:ascii="宋体" w:hAnsi="宋体" w:eastAsia="宋体" w:cs="宋体"/>
          <w:bCs w:val="0"/>
          <w:i/>
          <w:iCs/>
          <w:color w:val="000000"/>
          <w:kern w:val="0"/>
          <w:sz w:val="21"/>
          <w:szCs w:val="21"/>
          <w:lang w:val="en-US" w:eastAsia="zh-CN" w:bidi="ar"/>
        </w:rPr>
        <w:t>BR</w:t>
      </w:r>
      <w:r>
        <w:rPr>
          <w:rFonts w:hint="eastAsia" w:ascii="宋体" w:hAnsi="宋体" w:eastAsia="宋体" w:cs="宋体"/>
          <w:bCs w:val="0"/>
          <w:color w:val="000000"/>
          <w:kern w:val="0"/>
          <w:sz w:val="21"/>
          <w:szCs w:val="21"/>
          <w:lang w:val="en-US" w:eastAsia="zh-CN" w:bidi="ar"/>
        </w:rPr>
        <w:t>—船和岸上设备之间相互约定的最大加注速率，（m</w:t>
      </w:r>
      <w:r>
        <w:rPr>
          <w:rFonts w:hint="eastAsia" w:ascii="宋体" w:hAnsi="宋体" w:eastAsia="宋体" w:cs="宋体"/>
          <w:bCs w:val="0"/>
          <w:color w:val="000000"/>
          <w:kern w:val="0"/>
          <w:sz w:val="21"/>
          <w:szCs w:val="21"/>
          <w:vertAlign w:val="superscript"/>
          <w:lang w:val="en-US" w:eastAsia="zh-CN" w:bidi="ar"/>
        </w:rPr>
        <w:t>3</w:t>
      </w:r>
      <w:r>
        <w:rPr>
          <w:rFonts w:hint="eastAsia" w:ascii="宋体" w:hAnsi="宋体" w:eastAsia="宋体" w:cs="宋体"/>
          <w:bCs w:val="0"/>
          <w:color w:val="000000"/>
          <w:kern w:val="0"/>
          <w:sz w:val="21"/>
          <w:szCs w:val="21"/>
          <w:lang w:val="en-US" w:eastAsia="zh-CN" w:bidi="ar"/>
        </w:rPr>
        <w:t>/h）</w:t>
      </w:r>
      <w:r>
        <w:rPr>
          <w:rFonts w:hint="eastAsia" w:ascii="宋体" w:hAnsi="宋体" w:eastAsia="宋体" w:cs="宋体"/>
          <w:bCs w:val="0"/>
          <w:strike/>
          <w:dstrike w:val="0"/>
          <w:color w:val="FF0000"/>
          <w:kern w:val="0"/>
          <w:sz w:val="21"/>
          <w:szCs w:val="21"/>
          <w:lang w:val="en-US" w:eastAsia="zh-CN" w:bidi="ar"/>
        </w:rPr>
        <w:t>；或5秒量，取小者</w:t>
      </w:r>
      <w:r>
        <w:rPr>
          <w:rFonts w:hint="eastAsia" w:ascii="宋体" w:hAnsi="宋体" w:eastAsia="宋体" w:cs="宋体"/>
          <w:bCs w:val="0"/>
          <w:color w:val="000000"/>
          <w:kern w:val="0"/>
          <w:sz w:val="21"/>
          <w:szCs w:val="21"/>
          <w:lang w:val="en-US" w:eastAsia="zh-CN" w:bidi="ar"/>
        </w:rPr>
        <w:t>。</w:t>
      </w:r>
    </w:p>
    <w:p>
      <w:pPr>
        <w:pStyle w:val="5"/>
        <w:keepNext w:val="0"/>
        <w:keepLines w:val="0"/>
        <w:pageBreakBefore w:val="0"/>
        <w:numPr>
          <w:ilvl w:val="3"/>
          <w:numId w:val="0"/>
        </w:numPr>
        <w:kinsoku/>
        <w:wordWrap/>
        <w:overflowPunct/>
        <w:topLinePunct w:val="0"/>
        <w:bidi w:val="0"/>
        <w:adjustRightInd w:val="0"/>
        <w:snapToGrid w:val="0"/>
        <w:spacing w:beforeLines="0" w:line="240" w:lineRule="auto"/>
        <w:ind w:left="0" w:leftChars="0" w:firstLine="420" w:firstLineChars="200"/>
        <w:textAlignment w:val="auto"/>
        <w:rPr>
          <w:rFonts w:hint="eastAsia" w:ascii="宋体" w:hAnsi="宋体" w:eastAsia="宋体" w:cs="宋体"/>
          <w:bCs w:val="0"/>
          <w:color w:val="000000"/>
          <w:kern w:val="0"/>
          <w:sz w:val="21"/>
          <w:szCs w:val="21"/>
          <w:lang w:val="en-US" w:eastAsia="zh-CN" w:bidi="ar"/>
        </w:rPr>
      </w:pPr>
      <w:r>
        <w:rPr>
          <w:rFonts w:hint="eastAsia" w:ascii="宋体" w:hAnsi="宋体" w:eastAsia="宋体" w:cs="宋体"/>
          <w:bCs w:val="0"/>
          <w:color w:val="000000"/>
          <w:kern w:val="0"/>
          <w:sz w:val="21"/>
          <w:szCs w:val="21"/>
          <w:lang w:val="en-US" w:eastAsia="zh-CN" w:bidi="ar"/>
        </w:rPr>
        <w:t>考虑到加注软管或吊臂以及船上和岸上的有关管路系统，应对加注速率进行调整，以使阀关闭时的冲击压力被限制在一个可以承受的水平。</w:t>
      </w:r>
      <w:r>
        <w:rPr>
          <w:rFonts w:hint="eastAsia" w:ascii="宋体" w:hAnsi="宋体" w:cs="宋体"/>
          <w:bCs w:val="0"/>
          <w:color w:val="000000"/>
          <w:kern w:val="0"/>
          <w:sz w:val="21"/>
          <w:szCs w:val="21"/>
          <w:lang w:val="en-US" w:eastAsia="zh-CN" w:bidi="ar"/>
        </w:rPr>
        <w:t>”</w:t>
      </w:r>
    </w:p>
    <w:p>
      <w:pPr>
        <w:keepNext w:val="0"/>
        <w:keepLines w:val="0"/>
        <w:pageBreakBefore w:val="0"/>
        <w:widowControl w:val="0"/>
        <w:kinsoku/>
        <w:wordWrap/>
        <w:overflowPunct/>
        <w:topLinePunct w:val="0"/>
        <w:autoSpaceDE/>
        <w:autoSpaceDN/>
        <w:bidi w:val="0"/>
        <w:adjustRightInd w:val="0"/>
        <w:snapToGrid w:val="0"/>
        <w:ind w:firstLine="420" w:firstLineChars="200"/>
        <w:textAlignment w:val="auto"/>
        <w:rPr>
          <w:rFonts w:hint="eastAsia" w:ascii="Times New Roman" w:hAnsi="Times New Roman" w:eastAsia="楷体" w:cs="Times New Roman"/>
          <w:snapToGrid w:val="0"/>
          <w:color w:val="0000FF"/>
          <w:kern w:val="0"/>
          <w:szCs w:val="21"/>
          <w:lang w:val="en-US" w:eastAsia="zh-CN"/>
        </w:rPr>
      </w:pPr>
    </w:p>
    <w:p>
      <w:pPr>
        <w:keepNext w:val="0"/>
        <w:keepLines w:val="0"/>
        <w:pageBreakBefore w:val="0"/>
        <w:widowControl w:val="0"/>
        <w:kinsoku/>
        <w:wordWrap/>
        <w:overflowPunct/>
        <w:topLinePunct w:val="0"/>
        <w:autoSpaceDE/>
        <w:autoSpaceDN/>
        <w:bidi w:val="0"/>
        <w:adjustRightInd w:val="0"/>
        <w:snapToGrid w:val="0"/>
        <w:ind w:firstLine="420" w:firstLineChars="200"/>
        <w:textAlignment w:val="auto"/>
        <w:rPr>
          <w:rFonts w:hint="default" w:ascii="Times New Roman" w:hAnsi="Times New Roman" w:eastAsia="楷体" w:cs="Times New Roman"/>
          <w:snapToGrid w:val="0"/>
          <w:color w:val="0000FF"/>
          <w:kern w:val="0"/>
          <w:szCs w:val="21"/>
          <w:lang w:val="en-US" w:eastAsia="zh-CN"/>
        </w:rPr>
      </w:pPr>
    </w:p>
    <w:sectPr>
      <w:footerReference r:id="rId6"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0"/>
        <w:tab w:val="right" w:pos="8306"/>
      </w:tabs>
      <w:snapToGrid w:val="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center"/>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9"/>
                            <w:jc w:val="center"/>
                          </w:pPr>
                          <w:r>
                            <w:fldChar w:fldCharType="begin"/>
                          </w:r>
                          <w:r>
                            <w:instrText xml:space="preserve">PAGE   \* MERGEFORMAT</w:instrText>
                          </w:r>
                          <w:r>
                            <w:fldChar w:fldCharType="separate"/>
                          </w:r>
                          <w:r>
                            <w:rPr>
                              <w:lang w:val="zh-CN"/>
                            </w:rPr>
                            <w:t>91</w:t>
                          </w:r>
                          <w:r>
                            <w:rPr>
                              <w:lang w:val="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19"/>
                      <w:jc w:val="center"/>
                    </w:pPr>
                    <w:r>
                      <w:fldChar w:fldCharType="begin"/>
                    </w:r>
                    <w:r>
                      <w:instrText xml:space="preserve">PAGE   \* MERGEFORMAT</w:instrText>
                    </w:r>
                    <w:r>
                      <w:fldChar w:fldCharType="separate"/>
                    </w:r>
                    <w:r>
                      <w:rPr>
                        <w:lang w:val="zh-CN"/>
                      </w:rPr>
                      <w:t>91</w:t>
                    </w:r>
                    <w:r>
                      <w:rPr>
                        <w:lang w:val="zh-CN"/>
                      </w:rPr>
                      <w:fldChar w:fldCharType="end"/>
                    </w:r>
                  </w:p>
                </w:txbxContent>
              </v:textbox>
            </v:shape>
          </w:pict>
        </mc:Fallback>
      </mc:AlternateContent>
    </w:r>
  </w:p>
  <w:p>
    <w:pPr>
      <w:tabs>
        <w:tab w:val="center" w:pos="0"/>
        <w:tab w:val="right" w:pos="8306"/>
      </w:tabs>
      <w:snapToGrid w:val="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9"/>
                            <w:jc w:val="center"/>
                          </w:pPr>
                          <w:r>
                            <w:fldChar w:fldCharType="begin"/>
                          </w:r>
                          <w:r>
                            <w:instrText xml:space="preserve">PAGE   \* MERGEFORMAT</w:instrText>
                          </w:r>
                          <w:r>
                            <w:fldChar w:fldCharType="separate"/>
                          </w:r>
                          <w:r>
                            <w:rPr>
                              <w:lang w:val="zh-CN"/>
                            </w:rPr>
                            <w:t>91</w:t>
                          </w:r>
                          <w:r>
                            <w:rPr>
                              <w:lang w:val="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19"/>
                      <w:jc w:val="center"/>
                    </w:pPr>
                    <w:r>
                      <w:fldChar w:fldCharType="begin"/>
                    </w:r>
                    <w:r>
                      <w:instrText xml:space="preserve">PAGE   \* MERGEFORMAT</w:instrText>
                    </w:r>
                    <w:r>
                      <w:fldChar w:fldCharType="separate"/>
                    </w:r>
                    <w:r>
                      <w:rPr>
                        <w:lang w:val="zh-CN"/>
                      </w:rPr>
                      <w:t>91</w:t>
                    </w:r>
                    <w:r>
                      <w:rPr>
                        <w:lang w:val="zh-CN"/>
                      </w:rPr>
                      <w:fldChar w:fldCharType="end"/>
                    </w:r>
                  </w:p>
                </w:txbxContent>
              </v:textbox>
            </v:shape>
          </w:pict>
        </mc:Fallback>
      </mc:AlternateContent>
    </w:r>
  </w:p>
  <w:p>
    <w:pPr>
      <w:tabs>
        <w:tab w:val="center" w:pos="0"/>
        <w:tab w:val="right" w:pos="8306"/>
      </w:tabs>
      <w:snapToGrid w:val="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id="0">
    <w:p>
      <w:pPr>
        <w:pStyle w:val="23"/>
      </w:pPr>
      <w:r>
        <w:rPr>
          <w:rStyle w:val="33"/>
          <w:vertAlign w:val="baseline"/>
        </w:rPr>
        <w:footnoteRef/>
      </w:r>
      <w:r>
        <w:rPr>
          <w:rStyle w:val="33"/>
          <w:vertAlign w:val="baseline"/>
        </w:rPr>
        <w:t xml:space="preserve"> f</w:t>
      </w:r>
      <w:r>
        <w:rPr>
          <w:rStyle w:val="33"/>
          <w:vertAlign w:val="subscript"/>
        </w:rPr>
        <w:t>CN</w:t>
      </w:r>
      <w:r>
        <w:rPr>
          <w:rStyle w:val="33"/>
          <w:rFonts w:hint="eastAsia"/>
          <w:vertAlign w:val="baseline"/>
        </w:rPr>
        <w:t>值</w:t>
      </w:r>
      <w:r>
        <w:rPr>
          <w:rFonts w:hint="eastAsia"/>
        </w:rPr>
        <w:t>仅说明</w:t>
      </w:r>
      <w:r>
        <w:rPr>
          <w:rStyle w:val="33"/>
          <w:rFonts w:hint="eastAsia"/>
          <w:vertAlign w:val="baseline"/>
        </w:rPr>
        <w:t>可能发生</w:t>
      </w:r>
      <w:r>
        <w:rPr>
          <w:rStyle w:val="33"/>
          <w:vertAlign w:val="baseline"/>
        </w:rPr>
        <w:t>在燃料舱纵向投影边界</w:t>
      </w:r>
      <w:r>
        <w:rPr>
          <w:rFonts w:hint="eastAsia"/>
        </w:rPr>
        <w:t>所</w:t>
      </w:r>
      <w:r>
        <w:rPr>
          <w:rStyle w:val="33"/>
          <w:vertAlign w:val="baseline"/>
        </w:rPr>
        <w:t>形成区域</w:t>
      </w:r>
      <w:r>
        <w:rPr>
          <w:rStyle w:val="33"/>
          <w:rFonts w:hint="eastAsia"/>
          <w:vertAlign w:val="baseline"/>
        </w:rPr>
        <w:t>之内</w:t>
      </w:r>
      <w:r>
        <w:rPr>
          <w:rStyle w:val="33"/>
          <w:vertAlign w:val="baseline"/>
        </w:rPr>
        <w:t>的碰撞损伤，</w:t>
      </w:r>
      <w:r>
        <w:rPr>
          <w:rStyle w:val="33"/>
          <w:rFonts w:hint="eastAsia"/>
          <w:vertAlign w:val="baseline"/>
        </w:rPr>
        <w:t>f</w:t>
      </w:r>
      <w:r>
        <w:rPr>
          <w:rStyle w:val="33"/>
          <w:rFonts w:hint="eastAsia"/>
          <w:vertAlign w:val="subscript"/>
        </w:rPr>
        <w:t>CN</w:t>
      </w:r>
      <w:r>
        <w:rPr>
          <w:rStyle w:val="33"/>
          <w:rFonts w:hint="eastAsia"/>
          <w:vertAlign w:val="baseline"/>
        </w:rPr>
        <w:t>不能</w:t>
      </w:r>
      <w:r>
        <w:rPr>
          <w:rStyle w:val="33"/>
          <w:vertAlign w:val="baseline"/>
        </w:rPr>
        <w:t>被视为或被用作</w:t>
      </w:r>
      <w:r>
        <w:rPr>
          <w:rFonts w:hint="eastAsia"/>
        </w:rPr>
        <w:t>一次</w:t>
      </w:r>
      <w:r>
        <w:rPr>
          <w:rStyle w:val="33"/>
          <w:vertAlign w:val="baseline"/>
        </w:rPr>
        <w:t>碰撞</w:t>
      </w:r>
      <w:r>
        <w:rPr>
          <w:rFonts w:hint="eastAsia"/>
        </w:rPr>
        <w:t>条件下</w:t>
      </w:r>
      <w:r>
        <w:rPr>
          <w:rStyle w:val="33"/>
          <w:vertAlign w:val="baseline"/>
        </w:rPr>
        <w:t>燃料舱的</w:t>
      </w:r>
      <w:r>
        <w:rPr>
          <w:rStyle w:val="33"/>
          <w:rFonts w:hint="eastAsia"/>
          <w:vertAlign w:val="baseline"/>
        </w:rPr>
        <w:t>损伤</w:t>
      </w:r>
      <w:r>
        <w:rPr>
          <w:rStyle w:val="33"/>
          <w:vertAlign w:val="baseline"/>
        </w:rPr>
        <w:t>概率</w:t>
      </w:r>
      <w:r>
        <w:rPr>
          <w:rStyle w:val="33"/>
          <w:rFonts w:hint="eastAsia"/>
          <w:vertAlign w:val="baseline"/>
        </w:rPr>
        <w:t>。</w:t>
      </w:r>
      <w:r>
        <w:rPr>
          <w:rStyle w:val="33"/>
          <w:vertAlign w:val="baseline"/>
        </w:rPr>
        <w:t>当</w:t>
      </w:r>
      <w:r>
        <w:rPr>
          <w:rStyle w:val="33"/>
          <w:rFonts w:hint="eastAsia"/>
          <w:vertAlign w:val="baseline"/>
        </w:rPr>
        <w:t>考虑包括燃料舱</w:t>
      </w:r>
      <w:r>
        <w:rPr>
          <w:rStyle w:val="33"/>
          <w:vertAlign w:val="baseline"/>
        </w:rPr>
        <w:t>向前和向后区域</w:t>
      </w:r>
      <w:r>
        <w:rPr>
          <w:rStyle w:val="33"/>
          <w:rFonts w:hint="eastAsia"/>
          <w:vertAlign w:val="baseline"/>
        </w:rPr>
        <w:t>的</w:t>
      </w:r>
      <w:r>
        <w:rPr>
          <w:rStyle w:val="33"/>
          <w:vertAlign w:val="baseline"/>
        </w:rPr>
        <w:t>更长的损伤</w:t>
      </w:r>
      <w:r>
        <w:rPr>
          <w:rStyle w:val="33"/>
          <w:rFonts w:hint="eastAsia"/>
          <w:vertAlign w:val="baseline"/>
        </w:rPr>
        <w:t>时</w:t>
      </w:r>
      <w:r>
        <w:rPr>
          <w:rStyle w:val="33"/>
          <w:vertAlign w:val="baseline"/>
        </w:rPr>
        <w:t>，</w:t>
      </w:r>
      <w:r>
        <w:rPr>
          <w:rStyle w:val="33"/>
          <w:rFonts w:hint="eastAsia"/>
          <w:vertAlign w:val="baseline"/>
        </w:rPr>
        <w:t>实际</w:t>
      </w:r>
      <w:r>
        <w:rPr>
          <w:rStyle w:val="33"/>
          <w:vertAlign w:val="baseline"/>
        </w:rPr>
        <w:t>的概率会更高。</w:t>
      </w:r>
    </w:p>
  </w:footnote>
  <w:footnote w:id="1">
    <w:p>
      <w:pPr>
        <w:pStyle w:val="23"/>
        <w:rPr>
          <w:sz w:val="21"/>
          <w:szCs w:val="21"/>
        </w:rPr>
      </w:pPr>
      <w:r>
        <w:rPr>
          <w:rStyle w:val="33"/>
          <w:vertAlign w:val="baseline"/>
        </w:rPr>
        <w:footnoteRef/>
      </w:r>
      <w:r>
        <w:rPr>
          <w:rFonts w:hint="eastAsia"/>
        </w:rPr>
        <w:t xml:space="preserve"> 当</w:t>
      </w:r>
      <w:r>
        <w:t>燃料舱的最外边界位于</w:t>
      </w:r>
      <w:r>
        <w:rPr>
          <w:rFonts w:hint="eastAsia"/>
        </w:rPr>
        <w:t>由最深分舱载重线给出</w:t>
      </w:r>
      <w:r>
        <w:t>的边界之外时，</w:t>
      </w:r>
      <w:r>
        <w:rPr>
          <w:rFonts w:hint="eastAsia"/>
        </w:rPr>
        <w:t>b</w:t>
      </w:r>
      <w:r>
        <w:t>的值应取0</w:t>
      </w:r>
      <w:r>
        <w:rPr>
          <w:rFonts w:hint="eastAsia"/>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1B2BAB"/>
    <w:multiLevelType w:val="multilevel"/>
    <w:tmpl w:val="251B2BAB"/>
    <w:lvl w:ilvl="0" w:tentative="0">
      <w:start w:val="1"/>
      <w:numFmt w:val="decimal"/>
      <w:pStyle w:val="35"/>
      <w:suff w:val="space"/>
      <w:lvlText w:val="第%1章 "/>
      <w:lvlJc w:val="left"/>
      <w:pPr>
        <w:ind w:left="0" w:firstLine="0"/>
      </w:pPr>
      <w:rPr>
        <w:rFonts w:hint="eastAsia" w:hAnsi="Times New Roman"/>
        <w:spacing w:val="0"/>
      </w:rPr>
    </w:lvl>
    <w:lvl w:ilvl="1" w:tentative="0">
      <w:start w:val="1"/>
      <w:numFmt w:val="decimal"/>
      <w:pStyle w:val="36"/>
      <w:isLgl/>
      <w:suff w:val="space"/>
      <w:lvlText w:val="第%2节 "/>
      <w:lvlJc w:val="left"/>
      <w:pPr>
        <w:ind w:left="0" w:firstLine="442"/>
      </w:pPr>
      <w:rPr>
        <w:rFonts w:hint="default" w:ascii="楷体" w:hAnsi="楷体" w:eastAsia="楷体" w:cs="Times New Roman"/>
        <w:b/>
        <w:bCs w:val="0"/>
        <w:i w:val="0"/>
        <w:iCs w:val="0"/>
        <w:caps w:val="0"/>
        <w:smallCaps w:val="0"/>
        <w:strike w:val="0"/>
        <w:dstrike w:val="0"/>
        <w:outline w:val="0"/>
        <w:shadow w:val="0"/>
        <w:snapToGrid w:val="0"/>
        <w:color w:val="000000"/>
        <w:spacing w:val="0"/>
        <w:w w:val="0"/>
        <w:kern w:val="0"/>
        <w:position w:val="0"/>
        <w:sz w:val="28"/>
        <w:szCs w:val="16"/>
        <w:u w:val="none" w:color="000000"/>
        <w:shd w:val="clear" w:color="000000" w:fill="000000"/>
      </w:rPr>
    </w:lvl>
    <w:lvl w:ilvl="2" w:tentative="0">
      <w:start w:val="1"/>
      <w:numFmt w:val="decimal"/>
      <w:pStyle w:val="37"/>
      <w:isLgl/>
      <w:suff w:val="space"/>
      <w:lvlText w:val="%1.%2.%3 "/>
      <w:lvlJc w:val="left"/>
      <w:pPr>
        <w:ind w:left="0" w:firstLine="442"/>
      </w:pPr>
      <w:rPr>
        <w:rFonts w:hint="default" w:ascii="Times New Roman" w:hAnsi="Times New Roman" w:cs="Times New Roman"/>
        <w:b w:val="0"/>
        <w:bCs w:val="0"/>
        <w:i w:val="0"/>
        <w:iCs w:val="0"/>
        <w:caps w:val="0"/>
        <w:smallCaps w:val="0"/>
        <w:strike w:val="0"/>
        <w:color w:val="auto"/>
        <w:spacing w:val="0"/>
        <w:position w:val="0"/>
        <w:u w:val="none"/>
      </w:rPr>
    </w:lvl>
    <w:lvl w:ilvl="3" w:tentative="0">
      <w:start w:val="1"/>
      <w:numFmt w:val="decimal"/>
      <w:pStyle w:val="38"/>
      <w:isLgl/>
      <w:suff w:val="space"/>
      <w:lvlText w:val="%1.%2.%3.%4 "/>
      <w:lvlJc w:val="left"/>
      <w:pPr>
        <w:ind w:left="0" w:firstLine="442"/>
      </w:pPr>
      <w:rPr>
        <w:rFonts w:hint="eastAsia" w:ascii="Times New Roman" w:hAnsi="Times New Roman" w:cs="Times New Roman"/>
        <w:b w:val="0"/>
        <w:bCs w:val="0"/>
        <w:i w:val="0"/>
        <w:iCs w:val="0"/>
        <w:caps w:val="0"/>
        <w:smallCaps w:val="0"/>
        <w:strike w:val="0"/>
        <w:dstrike w:val="0"/>
        <w:color w:val="auto"/>
        <w:spacing w:val="0"/>
        <w:position w:val="0"/>
        <w:sz w:val="21"/>
        <w:szCs w:val="21"/>
        <w:u w:val="none"/>
      </w:rPr>
    </w:lvl>
    <w:lvl w:ilvl="4" w:tentative="0">
      <w:start w:val="1"/>
      <w:numFmt w:val="decimal"/>
      <w:pStyle w:val="39"/>
      <w:suff w:val="nothing"/>
      <w:lvlText w:val="(%5)"/>
      <w:lvlJc w:val="left"/>
      <w:pPr>
        <w:ind w:left="0" w:firstLine="442"/>
      </w:pPr>
      <w:rPr>
        <w:rFonts w:hint="eastAsia" w:ascii="宋体" w:eastAsia="宋体"/>
        <w:b w:val="0"/>
        <w:bCs w:val="0"/>
        <w:i w:val="0"/>
        <w:iCs w:val="0"/>
        <w:smallCaps w:val="0"/>
        <w:strike w:val="0"/>
        <w:color w:val="000000"/>
        <w:sz w:val="21"/>
        <w:szCs w:val="21"/>
      </w:rPr>
    </w:lvl>
    <w:lvl w:ilvl="5" w:tentative="0">
      <w:start w:val="1"/>
      <w:numFmt w:val="decimalEnclosedCircle"/>
      <w:pStyle w:val="40"/>
      <w:suff w:val="space"/>
      <w:lvlText w:val="%6"/>
      <w:lvlJc w:val="left"/>
      <w:pPr>
        <w:ind w:left="0" w:firstLine="567"/>
      </w:pPr>
      <w:rPr>
        <w:rFonts w:ascii="Times New Roman" w:hAnsi="Times New Roman" w:cs="Times New Roman"/>
        <w:b w:val="0"/>
        <w:bCs w:val="0"/>
        <w:i w:val="0"/>
        <w:iCs w:val="0"/>
        <w:caps w:val="0"/>
        <w:smallCaps w:val="0"/>
        <w:strike w:val="0"/>
        <w:dstrike w:val="0"/>
        <w:outline w:val="0"/>
        <w:shadow w:val="0"/>
        <w:snapToGrid w:val="0"/>
        <w:color w:val="000000"/>
        <w:spacing w:val="0"/>
        <w:w w:val="0"/>
        <w:kern w:val="0"/>
        <w:position w:val="0"/>
        <w:sz w:val="16"/>
        <w:szCs w:val="16"/>
        <w:u w:val="none" w:color="000000"/>
        <w:shd w:val="clear" w:color="000000" w:fill="000000"/>
      </w:rPr>
    </w:lvl>
    <w:lvl w:ilvl="6" w:tentative="0">
      <w:start w:val="1"/>
      <w:numFmt w:val="lowerLetter"/>
      <w:pStyle w:val="41"/>
      <w:suff w:val="space"/>
      <w:lvlText w:val="(%7)"/>
      <w:lvlJc w:val="left"/>
      <w:pPr>
        <w:ind w:left="0" w:firstLine="0"/>
      </w:pPr>
      <w:rPr>
        <w:rFonts w:hint="eastAsia"/>
      </w:rPr>
    </w:lvl>
    <w:lvl w:ilvl="7" w:tentative="0">
      <w:start w:val="1"/>
      <w:numFmt w:val="decimal"/>
      <w:lvlText w:val="%1.%2.%3.%4.%5.%6.%7.%8."/>
      <w:lvlJc w:val="left"/>
      <w:pPr>
        <w:tabs>
          <w:tab w:val="left" w:pos="1282"/>
        </w:tabs>
        <w:ind w:left="1282" w:hanging="1418"/>
      </w:pPr>
      <w:rPr>
        <w:rFonts w:hint="eastAsia"/>
      </w:rPr>
    </w:lvl>
    <w:lvl w:ilvl="8" w:tentative="0">
      <w:start w:val="1"/>
      <w:numFmt w:val="decimal"/>
      <w:lvlText w:val="%1.%2.%3.%4.%5.%6.%7.%8.%9."/>
      <w:lvlJc w:val="left"/>
      <w:pPr>
        <w:tabs>
          <w:tab w:val="left" w:pos="1423"/>
        </w:tabs>
        <w:ind w:left="1423" w:hanging="1559"/>
      </w:pPr>
      <w:rPr>
        <w:rFonts w:hint="eastAsia"/>
      </w:rPr>
    </w:lvl>
  </w:abstractNum>
  <w:abstractNum w:abstractNumId="1">
    <w:nsid w:val="2B1338B9"/>
    <w:multiLevelType w:val="multilevel"/>
    <w:tmpl w:val="2B1338B9"/>
    <w:lvl w:ilvl="0" w:tentative="0">
      <w:start w:val="1"/>
      <w:numFmt w:val="decimal"/>
      <w:pStyle w:val="2"/>
      <w:suff w:val="space"/>
      <w:lvlText w:val="%1"/>
      <w:lvlJc w:val="left"/>
      <w:pPr>
        <w:ind w:left="420" w:hanging="420"/>
      </w:pPr>
      <w:rPr>
        <w:rFonts w:hint="eastAsia"/>
      </w:rPr>
    </w:lvl>
    <w:lvl w:ilvl="1" w:tentative="0">
      <w:start w:val="1"/>
      <w:numFmt w:val="decimal"/>
      <w:pStyle w:val="3"/>
      <w:isLgl/>
      <w:suff w:val="space"/>
      <w:lvlText w:val="%1.%2"/>
      <w:lvlJc w:val="left"/>
      <w:pPr>
        <w:ind w:left="840" w:hanging="840"/>
      </w:pPr>
      <w:rPr>
        <w:rFonts w:hint="eastAsia"/>
        <w:b w:val="0"/>
      </w:rPr>
    </w:lvl>
    <w:lvl w:ilvl="2" w:tentative="0">
      <w:start w:val="1"/>
      <w:numFmt w:val="decimal"/>
      <w:pStyle w:val="42"/>
      <w:suff w:val="space"/>
      <w:lvlText w:val="%1.%2.%3"/>
      <w:lvlJc w:val="left"/>
      <w:pPr>
        <w:ind w:left="0" w:firstLine="0"/>
      </w:pPr>
      <w:rPr>
        <w:rFonts w:hint="eastAsia"/>
        <w:color w:val="000000"/>
      </w:rPr>
    </w:lvl>
    <w:lvl w:ilvl="3" w:tentative="0">
      <w:start w:val="1"/>
      <w:numFmt w:val="decimal"/>
      <w:pStyle w:val="5"/>
      <w:isLgl/>
      <w:suff w:val="space"/>
      <w:lvlText w:val="%1.%2.%3.%4 "/>
      <w:lvlJc w:val="left"/>
      <w:pPr>
        <w:ind w:left="1050" w:firstLine="0"/>
      </w:pPr>
      <w:rPr>
        <w:rFonts w:hint="default" w:ascii="Times New Roman" w:hAnsi="Times New Roman" w:eastAsia="宋体"/>
        <w:b w:val="0"/>
        <w:color w:val="000000"/>
      </w:rPr>
    </w:lvl>
    <w:lvl w:ilvl="4" w:tentative="0">
      <w:start w:val="1"/>
      <w:numFmt w:val="decimal"/>
      <w:pStyle w:val="6"/>
      <w:isLgl/>
      <w:suff w:val="space"/>
      <w:lvlText w:val="%1.%2.%3.%4.%5 "/>
      <w:lvlJc w:val="left"/>
      <w:pPr>
        <w:ind w:left="0" w:firstLine="0"/>
      </w:pPr>
      <w:rPr>
        <w:rFonts w:hint="default" w:ascii="Times New Roman" w:hAnsi="Times New Roman" w:eastAsia="宋体"/>
      </w:rPr>
    </w:lvl>
    <w:lvl w:ilvl="5" w:tentative="0">
      <w:start w:val="1"/>
      <w:numFmt w:val="decimal"/>
      <w:pStyle w:val="7"/>
      <w:suff w:val="space"/>
      <w:lvlText w:val="%1.%2.%3.%4.%5.%6"/>
      <w:lvlJc w:val="left"/>
      <w:pPr>
        <w:ind w:left="0" w:firstLine="0"/>
      </w:pPr>
      <w:rPr>
        <w:rFonts w:hint="eastAsia"/>
      </w:rPr>
    </w:lvl>
    <w:lvl w:ilvl="6" w:tentative="0">
      <w:start w:val="1"/>
      <w:numFmt w:val="decimal"/>
      <w:pStyle w:val="8"/>
      <w:suff w:val="space"/>
      <w:lvlText w:val="%1.%2.%3.%4.%5.%6.%7"/>
      <w:lvlJc w:val="left"/>
      <w:pPr>
        <w:ind w:left="0" w:firstLine="0"/>
      </w:pPr>
      <w:rPr>
        <w:rFonts w:hint="eastAsia"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Cs w:val="0"/>
        <w:u w:val="none"/>
        <w:vertAlign w:val="baseline"/>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bordersDoNotSurroundHeader w:val="0"/>
  <w:bordersDoNotSurroundFooter w:val="0"/>
  <w:hideSpellingErrors/>
  <w:hideGrammatical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MyY2I1MGI2MzljOWYyMDNiMjU5YWUwMTk2MzA4N2QifQ=="/>
  </w:docVars>
  <w:rsids>
    <w:rsidRoot w:val="00525F85"/>
    <w:rsid w:val="000051B5"/>
    <w:rsid w:val="00005605"/>
    <w:rsid w:val="00005F01"/>
    <w:rsid w:val="0000720C"/>
    <w:rsid w:val="00010011"/>
    <w:rsid w:val="00013B35"/>
    <w:rsid w:val="00013FEF"/>
    <w:rsid w:val="0001555C"/>
    <w:rsid w:val="000166ED"/>
    <w:rsid w:val="00016E64"/>
    <w:rsid w:val="0001735F"/>
    <w:rsid w:val="000179E9"/>
    <w:rsid w:val="000205F0"/>
    <w:rsid w:val="000212B3"/>
    <w:rsid w:val="000230B3"/>
    <w:rsid w:val="00023520"/>
    <w:rsid w:val="00023A78"/>
    <w:rsid w:val="00024A84"/>
    <w:rsid w:val="00026104"/>
    <w:rsid w:val="00026E79"/>
    <w:rsid w:val="0002711E"/>
    <w:rsid w:val="0002716F"/>
    <w:rsid w:val="00027375"/>
    <w:rsid w:val="00032CBC"/>
    <w:rsid w:val="000335A5"/>
    <w:rsid w:val="00033F58"/>
    <w:rsid w:val="00034477"/>
    <w:rsid w:val="0003495A"/>
    <w:rsid w:val="00034BFF"/>
    <w:rsid w:val="00034DDC"/>
    <w:rsid w:val="00043213"/>
    <w:rsid w:val="0005053B"/>
    <w:rsid w:val="00052F32"/>
    <w:rsid w:val="00053A8D"/>
    <w:rsid w:val="00055DC8"/>
    <w:rsid w:val="000626CD"/>
    <w:rsid w:val="00064EE8"/>
    <w:rsid w:val="00065625"/>
    <w:rsid w:val="00066351"/>
    <w:rsid w:val="00067E21"/>
    <w:rsid w:val="000707C1"/>
    <w:rsid w:val="00070D5B"/>
    <w:rsid w:val="00073B79"/>
    <w:rsid w:val="00074D5D"/>
    <w:rsid w:val="000804A4"/>
    <w:rsid w:val="00084D8D"/>
    <w:rsid w:val="000906E9"/>
    <w:rsid w:val="00090F83"/>
    <w:rsid w:val="00091BE8"/>
    <w:rsid w:val="00092EB9"/>
    <w:rsid w:val="0009396A"/>
    <w:rsid w:val="00095405"/>
    <w:rsid w:val="000957EE"/>
    <w:rsid w:val="00097576"/>
    <w:rsid w:val="000A0A5B"/>
    <w:rsid w:val="000A0E27"/>
    <w:rsid w:val="000A21F8"/>
    <w:rsid w:val="000A45E2"/>
    <w:rsid w:val="000A62FB"/>
    <w:rsid w:val="000B1CE8"/>
    <w:rsid w:val="000B2B86"/>
    <w:rsid w:val="000B2BD6"/>
    <w:rsid w:val="000B3308"/>
    <w:rsid w:val="000B42F3"/>
    <w:rsid w:val="000C01F5"/>
    <w:rsid w:val="000C1D27"/>
    <w:rsid w:val="000C2DE1"/>
    <w:rsid w:val="000C3CF6"/>
    <w:rsid w:val="000C3DA8"/>
    <w:rsid w:val="000C58D0"/>
    <w:rsid w:val="000C61F2"/>
    <w:rsid w:val="000C77F1"/>
    <w:rsid w:val="000D2554"/>
    <w:rsid w:val="000D37F6"/>
    <w:rsid w:val="000D3FFB"/>
    <w:rsid w:val="000D4A22"/>
    <w:rsid w:val="000D72AC"/>
    <w:rsid w:val="000D72EE"/>
    <w:rsid w:val="000E2EB8"/>
    <w:rsid w:val="000E44BD"/>
    <w:rsid w:val="000E63F2"/>
    <w:rsid w:val="000E6D5B"/>
    <w:rsid w:val="000E73F6"/>
    <w:rsid w:val="000F24A2"/>
    <w:rsid w:val="000F2E3F"/>
    <w:rsid w:val="000F33F7"/>
    <w:rsid w:val="000F4D62"/>
    <w:rsid w:val="000F540F"/>
    <w:rsid w:val="000F6FB0"/>
    <w:rsid w:val="00102C35"/>
    <w:rsid w:val="00104A68"/>
    <w:rsid w:val="00106721"/>
    <w:rsid w:val="00114562"/>
    <w:rsid w:val="0011706C"/>
    <w:rsid w:val="00117272"/>
    <w:rsid w:val="00117CF0"/>
    <w:rsid w:val="001206AE"/>
    <w:rsid w:val="00122BEF"/>
    <w:rsid w:val="00123A72"/>
    <w:rsid w:val="00124C89"/>
    <w:rsid w:val="00125AB7"/>
    <w:rsid w:val="00125FEB"/>
    <w:rsid w:val="0012791C"/>
    <w:rsid w:val="0013105F"/>
    <w:rsid w:val="001328A1"/>
    <w:rsid w:val="00134C43"/>
    <w:rsid w:val="00141EDA"/>
    <w:rsid w:val="00141F8E"/>
    <w:rsid w:val="001427A8"/>
    <w:rsid w:val="001440AE"/>
    <w:rsid w:val="001464A0"/>
    <w:rsid w:val="001472DE"/>
    <w:rsid w:val="00150BF8"/>
    <w:rsid w:val="00151975"/>
    <w:rsid w:val="00152101"/>
    <w:rsid w:val="00154B71"/>
    <w:rsid w:val="001563B7"/>
    <w:rsid w:val="0015784C"/>
    <w:rsid w:val="001604C1"/>
    <w:rsid w:val="00160B00"/>
    <w:rsid w:val="00161777"/>
    <w:rsid w:val="00161E8A"/>
    <w:rsid w:val="00166EA2"/>
    <w:rsid w:val="00172E50"/>
    <w:rsid w:val="00173421"/>
    <w:rsid w:val="001765CA"/>
    <w:rsid w:val="001808F2"/>
    <w:rsid w:val="00180ADD"/>
    <w:rsid w:val="00180F7F"/>
    <w:rsid w:val="00183A1D"/>
    <w:rsid w:val="00191A80"/>
    <w:rsid w:val="00192FA8"/>
    <w:rsid w:val="00193BB8"/>
    <w:rsid w:val="001969CF"/>
    <w:rsid w:val="00196A8D"/>
    <w:rsid w:val="00196DB8"/>
    <w:rsid w:val="0019740A"/>
    <w:rsid w:val="001A3B17"/>
    <w:rsid w:val="001A5B9D"/>
    <w:rsid w:val="001A714E"/>
    <w:rsid w:val="001B0146"/>
    <w:rsid w:val="001B09DF"/>
    <w:rsid w:val="001B157A"/>
    <w:rsid w:val="001B1820"/>
    <w:rsid w:val="001B23BD"/>
    <w:rsid w:val="001B34F4"/>
    <w:rsid w:val="001B5852"/>
    <w:rsid w:val="001C0A25"/>
    <w:rsid w:val="001C2B51"/>
    <w:rsid w:val="001C4132"/>
    <w:rsid w:val="001C5599"/>
    <w:rsid w:val="001C6333"/>
    <w:rsid w:val="001C6E30"/>
    <w:rsid w:val="001C70C6"/>
    <w:rsid w:val="001C7754"/>
    <w:rsid w:val="001D42BA"/>
    <w:rsid w:val="001D42D4"/>
    <w:rsid w:val="001D4775"/>
    <w:rsid w:val="001D4FF5"/>
    <w:rsid w:val="001D5318"/>
    <w:rsid w:val="001D62B5"/>
    <w:rsid w:val="001D6F41"/>
    <w:rsid w:val="001D7355"/>
    <w:rsid w:val="001D7F97"/>
    <w:rsid w:val="001E0EEC"/>
    <w:rsid w:val="001E1E5D"/>
    <w:rsid w:val="001E1FC0"/>
    <w:rsid w:val="001E2241"/>
    <w:rsid w:val="001E3522"/>
    <w:rsid w:val="001F0A4C"/>
    <w:rsid w:val="001F1D6B"/>
    <w:rsid w:val="001F22BF"/>
    <w:rsid w:val="001F2E54"/>
    <w:rsid w:val="00200843"/>
    <w:rsid w:val="00202669"/>
    <w:rsid w:val="002047F7"/>
    <w:rsid w:val="00213D08"/>
    <w:rsid w:val="00214933"/>
    <w:rsid w:val="00215370"/>
    <w:rsid w:val="002163ED"/>
    <w:rsid w:val="00220038"/>
    <w:rsid w:val="00222D1A"/>
    <w:rsid w:val="002234F8"/>
    <w:rsid w:val="00224FA1"/>
    <w:rsid w:val="00227DEF"/>
    <w:rsid w:val="00234A68"/>
    <w:rsid w:val="002356B2"/>
    <w:rsid w:val="00240172"/>
    <w:rsid w:val="00241600"/>
    <w:rsid w:val="00241616"/>
    <w:rsid w:val="00241EBC"/>
    <w:rsid w:val="00250C1F"/>
    <w:rsid w:val="00253094"/>
    <w:rsid w:val="00253492"/>
    <w:rsid w:val="00254C1D"/>
    <w:rsid w:val="00255909"/>
    <w:rsid w:val="00255A4C"/>
    <w:rsid w:val="002576F4"/>
    <w:rsid w:val="002579DF"/>
    <w:rsid w:val="002630EF"/>
    <w:rsid w:val="00263DE4"/>
    <w:rsid w:val="0026469A"/>
    <w:rsid w:val="00265F45"/>
    <w:rsid w:val="0026661C"/>
    <w:rsid w:val="002674B4"/>
    <w:rsid w:val="00267CAF"/>
    <w:rsid w:val="00270098"/>
    <w:rsid w:val="00271B47"/>
    <w:rsid w:val="00271CCD"/>
    <w:rsid w:val="00273020"/>
    <w:rsid w:val="00274270"/>
    <w:rsid w:val="002751B8"/>
    <w:rsid w:val="0027550F"/>
    <w:rsid w:val="002758BD"/>
    <w:rsid w:val="002758FB"/>
    <w:rsid w:val="00277516"/>
    <w:rsid w:val="00280377"/>
    <w:rsid w:val="00280D2D"/>
    <w:rsid w:val="0028231A"/>
    <w:rsid w:val="00284926"/>
    <w:rsid w:val="002862DA"/>
    <w:rsid w:val="00290920"/>
    <w:rsid w:val="002916FB"/>
    <w:rsid w:val="0029284D"/>
    <w:rsid w:val="00297C4C"/>
    <w:rsid w:val="002A0964"/>
    <w:rsid w:val="002A11CA"/>
    <w:rsid w:val="002A3D63"/>
    <w:rsid w:val="002A4352"/>
    <w:rsid w:val="002A7482"/>
    <w:rsid w:val="002A79CD"/>
    <w:rsid w:val="002B049E"/>
    <w:rsid w:val="002B0583"/>
    <w:rsid w:val="002B08A4"/>
    <w:rsid w:val="002B19BD"/>
    <w:rsid w:val="002B2279"/>
    <w:rsid w:val="002B285D"/>
    <w:rsid w:val="002B4079"/>
    <w:rsid w:val="002B48B5"/>
    <w:rsid w:val="002B6F4B"/>
    <w:rsid w:val="002C0F5D"/>
    <w:rsid w:val="002C1268"/>
    <w:rsid w:val="002C2EAF"/>
    <w:rsid w:val="002C3D86"/>
    <w:rsid w:val="002C4537"/>
    <w:rsid w:val="002C4543"/>
    <w:rsid w:val="002C69EC"/>
    <w:rsid w:val="002D001D"/>
    <w:rsid w:val="002D1723"/>
    <w:rsid w:val="002D236F"/>
    <w:rsid w:val="002D2441"/>
    <w:rsid w:val="002D348A"/>
    <w:rsid w:val="002D5DE8"/>
    <w:rsid w:val="002D731B"/>
    <w:rsid w:val="002E21B5"/>
    <w:rsid w:val="002E36DE"/>
    <w:rsid w:val="002E3FD5"/>
    <w:rsid w:val="002E615A"/>
    <w:rsid w:val="002E7CA5"/>
    <w:rsid w:val="002F0926"/>
    <w:rsid w:val="002F1933"/>
    <w:rsid w:val="002F2098"/>
    <w:rsid w:val="002F3886"/>
    <w:rsid w:val="002F44A2"/>
    <w:rsid w:val="002F52E0"/>
    <w:rsid w:val="002F652F"/>
    <w:rsid w:val="002F7757"/>
    <w:rsid w:val="00303DA2"/>
    <w:rsid w:val="00303FBC"/>
    <w:rsid w:val="00312189"/>
    <w:rsid w:val="00313B1F"/>
    <w:rsid w:val="00313F87"/>
    <w:rsid w:val="003148CD"/>
    <w:rsid w:val="003148FB"/>
    <w:rsid w:val="00314DA4"/>
    <w:rsid w:val="00317F4B"/>
    <w:rsid w:val="00321932"/>
    <w:rsid w:val="00322298"/>
    <w:rsid w:val="0032611F"/>
    <w:rsid w:val="00326D66"/>
    <w:rsid w:val="00331F2A"/>
    <w:rsid w:val="00333181"/>
    <w:rsid w:val="0033661A"/>
    <w:rsid w:val="003374C4"/>
    <w:rsid w:val="00337EEC"/>
    <w:rsid w:val="003408BF"/>
    <w:rsid w:val="003417F9"/>
    <w:rsid w:val="003433A7"/>
    <w:rsid w:val="0034410C"/>
    <w:rsid w:val="0034717B"/>
    <w:rsid w:val="00350443"/>
    <w:rsid w:val="00356964"/>
    <w:rsid w:val="00356A63"/>
    <w:rsid w:val="00360A06"/>
    <w:rsid w:val="003610EB"/>
    <w:rsid w:val="003632A6"/>
    <w:rsid w:val="003633BF"/>
    <w:rsid w:val="00363602"/>
    <w:rsid w:val="00365D2E"/>
    <w:rsid w:val="00366104"/>
    <w:rsid w:val="00366733"/>
    <w:rsid w:val="00370C0B"/>
    <w:rsid w:val="00377683"/>
    <w:rsid w:val="0038302D"/>
    <w:rsid w:val="00387751"/>
    <w:rsid w:val="0039193C"/>
    <w:rsid w:val="003926F8"/>
    <w:rsid w:val="00392F66"/>
    <w:rsid w:val="003941B6"/>
    <w:rsid w:val="00396154"/>
    <w:rsid w:val="003A245B"/>
    <w:rsid w:val="003A24A7"/>
    <w:rsid w:val="003A3996"/>
    <w:rsid w:val="003A4BDA"/>
    <w:rsid w:val="003A4CA7"/>
    <w:rsid w:val="003A4F92"/>
    <w:rsid w:val="003A51C9"/>
    <w:rsid w:val="003A6E68"/>
    <w:rsid w:val="003B0F7A"/>
    <w:rsid w:val="003B11B1"/>
    <w:rsid w:val="003B15A9"/>
    <w:rsid w:val="003B2885"/>
    <w:rsid w:val="003B3E35"/>
    <w:rsid w:val="003B4BB5"/>
    <w:rsid w:val="003B5244"/>
    <w:rsid w:val="003B5CFC"/>
    <w:rsid w:val="003B748B"/>
    <w:rsid w:val="003C0295"/>
    <w:rsid w:val="003C2268"/>
    <w:rsid w:val="003C36A1"/>
    <w:rsid w:val="003C4B29"/>
    <w:rsid w:val="003D0ABC"/>
    <w:rsid w:val="003D1D05"/>
    <w:rsid w:val="003D2A63"/>
    <w:rsid w:val="003D438C"/>
    <w:rsid w:val="003D44AA"/>
    <w:rsid w:val="003E19E1"/>
    <w:rsid w:val="003E3756"/>
    <w:rsid w:val="003E4541"/>
    <w:rsid w:val="003E4780"/>
    <w:rsid w:val="003E7AB8"/>
    <w:rsid w:val="003F003F"/>
    <w:rsid w:val="003F3281"/>
    <w:rsid w:val="003F3716"/>
    <w:rsid w:val="003F44B0"/>
    <w:rsid w:val="003F4E8F"/>
    <w:rsid w:val="003F5E46"/>
    <w:rsid w:val="003F5F34"/>
    <w:rsid w:val="004007B7"/>
    <w:rsid w:val="00400A5A"/>
    <w:rsid w:val="00403374"/>
    <w:rsid w:val="00405642"/>
    <w:rsid w:val="00405F86"/>
    <w:rsid w:val="00411095"/>
    <w:rsid w:val="00411986"/>
    <w:rsid w:val="00411A9A"/>
    <w:rsid w:val="00413039"/>
    <w:rsid w:val="00413BA8"/>
    <w:rsid w:val="004146FC"/>
    <w:rsid w:val="00416BA0"/>
    <w:rsid w:val="00420B67"/>
    <w:rsid w:val="0042129A"/>
    <w:rsid w:val="0042214E"/>
    <w:rsid w:val="00422B18"/>
    <w:rsid w:val="0042347D"/>
    <w:rsid w:val="004245A8"/>
    <w:rsid w:val="00424F25"/>
    <w:rsid w:val="00430296"/>
    <w:rsid w:val="004303DB"/>
    <w:rsid w:val="00431766"/>
    <w:rsid w:val="0043232D"/>
    <w:rsid w:val="00433C1B"/>
    <w:rsid w:val="00434764"/>
    <w:rsid w:val="0043683B"/>
    <w:rsid w:val="0043735B"/>
    <w:rsid w:val="004376B8"/>
    <w:rsid w:val="00437939"/>
    <w:rsid w:val="00442000"/>
    <w:rsid w:val="004423DB"/>
    <w:rsid w:val="00442669"/>
    <w:rsid w:val="0044610D"/>
    <w:rsid w:val="00451455"/>
    <w:rsid w:val="00451AD6"/>
    <w:rsid w:val="004540EB"/>
    <w:rsid w:val="004543F4"/>
    <w:rsid w:val="00454F3B"/>
    <w:rsid w:val="00454F4F"/>
    <w:rsid w:val="004613F3"/>
    <w:rsid w:val="00461C9B"/>
    <w:rsid w:val="00461FAC"/>
    <w:rsid w:val="00462003"/>
    <w:rsid w:val="00462585"/>
    <w:rsid w:val="00462AB3"/>
    <w:rsid w:val="00463DB7"/>
    <w:rsid w:val="00464619"/>
    <w:rsid w:val="00466573"/>
    <w:rsid w:val="0046720F"/>
    <w:rsid w:val="0047230E"/>
    <w:rsid w:val="00472522"/>
    <w:rsid w:val="004746CF"/>
    <w:rsid w:val="00476685"/>
    <w:rsid w:val="00476B6D"/>
    <w:rsid w:val="00476C31"/>
    <w:rsid w:val="00480279"/>
    <w:rsid w:val="00485C3B"/>
    <w:rsid w:val="0048664D"/>
    <w:rsid w:val="00486EEA"/>
    <w:rsid w:val="00490401"/>
    <w:rsid w:val="00490B53"/>
    <w:rsid w:val="004912E3"/>
    <w:rsid w:val="00492921"/>
    <w:rsid w:val="0049446C"/>
    <w:rsid w:val="00495592"/>
    <w:rsid w:val="004A02EB"/>
    <w:rsid w:val="004A086E"/>
    <w:rsid w:val="004A0BBE"/>
    <w:rsid w:val="004A168C"/>
    <w:rsid w:val="004A1E93"/>
    <w:rsid w:val="004A4C21"/>
    <w:rsid w:val="004A6892"/>
    <w:rsid w:val="004B0EE0"/>
    <w:rsid w:val="004B228C"/>
    <w:rsid w:val="004B2DA8"/>
    <w:rsid w:val="004B5167"/>
    <w:rsid w:val="004B5E42"/>
    <w:rsid w:val="004B5FB5"/>
    <w:rsid w:val="004B7A1E"/>
    <w:rsid w:val="004C4D14"/>
    <w:rsid w:val="004C764C"/>
    <w:rsid w:val="004D09F3"/>
    <w:rsid w:val="004D0A29"/>
    <w:rsid w:val="004D2E6F"/>
    <w:rsid w:val="004D3901"/>
    <w:rsid w:val="004D5560"/>
    <w:rsid w:val="004D5BF7"/>
    <w:rsid w:val="004D7509"/>
    <w:rsid w:val="004D7A29"/>
    <w:rsid w:val="004D7C6F"/>
    <w:rsid w:val="004E54EA"/>
    <w:rsid w:val="004F4176"/>
    <w:rsid w:val="004F542E"/>
    <w:rsid w:val="004F681D"/>
    <w:rsid w:val="004F7D76"/>
    <w:rsid w:val="00501B03"/>
    <w:rsid w:val="00505539"/>
    <w:rsid w:val="00511798"/>
    <w:rsid w:val="00514278"/>
    <w:rsid w:val="005143B6"/>
    <w:rsid w:val="005146F7"/>
    <w:rsid w:val="00514988"/>
    <w:rsid w:val="00514D4B"/>
    <w:rsid w:val="005214C3"/>
    <w:rsid w:val="00522C3C"/>
    <w:rsid w:val="005232B7"/>
    <w:rsid w:val="005238BA"/>
    <w:rsid w:val="00524F27"/>
    <w:rsid w:val="00525F85"/>
    <w:rsid w:val="0052631E"/>
    <w:rsid w:val="00530BD9"/>
    <w:rsid w:val="0053176B"/>
    <w:rsid w:val="00531F02"/>
    <w:rsid w:val="005341A8"/>
    <w:rsid w:val="00534920"/>
    <w:rsid w:val="00535530"/>
    <w:rsid w:val="005364D8"/>
    <w:rsid w:val="005366DD"/>
    <w:rsid w:val="00537CAF"/>
    <w:rsid w:val="0054028C"/>
    <w:rsid w:val="00540E56"/>
    <w:rsid w:val="00543160"/>
    <w:rsid w:val="005460A8"/>
    <w:rsid w:val="0054720B"/>
    <w:rsid w:val="00552490"/>
    <w:rsid w:val="0055267F"/>
    <w:rsid w:val="005532C7"/>
    <w:rsid w:val="005540BF"/>
    <w:rsid w:val="00557D88"/>
    <w:rsid w:val="00557E5B"/>
    <w:rsid w:val="00561A3E"/>
    <w:rsid w:val="0056517A"/>
    <w:rsid w:val="005665C7"/>
    <w:rsid w:val="00573DF4"/>
    <w:rsid w:val="00573EA5"/>
    <w:rsid w:val="005746B0"/>
    <w:rsid w:val="0057483C"/>
    <w:rsid w:val="00575158"/>
    <w:rsid w:val="00576E26"/>
    <w:rsid w:val="0057748E"/>
    <w:rsid w:val="00582A85"/>
    <w:rsid w:val="0058483B"/>
    <w:rsid w:val="005869D0"/>
    <w:rsid w:val="00586D63"/>
    <w:rsid w:val="00586FEC"/>
    <w:rsid w:val="00587678"/>
    <w:rsid w:val="0059028F"/>
    <w:rsid w:val="005914DA"/>
    <w:rsid w:val="0059563E"/>
    <w:rsid w:val="00596590"/>
    <w:rsid w:val="00597F48"/>
    <w:rsid w:val="005A2405"/>
    <w:rsid w:val="005A468F"/>
    <w:rsid w:val="005A5783"/>
    <w:rsid w:val="005A7669"/>
    <w:rsid w:val="005A7E85"/>
    <w:rsid w:val="005B2F64"/>
    <w:rsid w:val="005B6904"/>
    <w:rsid w:val="005C0DAE"/>
    <w:rsid w:val="005D2189"/>
    <w:rsid w:val="005D37BC"/>
    <w:rsid w:val="005D3A7D"/>
    <w:rsid w:val="005D57EC"/>
    <w:rsid w:val="005D7108"/>
    <w:rsid w:val="005E2B98"/>
    <w:rsid w:val="005E33D9"/>
    <w:rsid w:val="005E35E2"/>
    <w:rsid w:val="005E55A3"/>
    <w:rsid w:val="005E68C9"/>
    <w:rsid w:val="005F1FCC"/>
    <w:rsid w:val="005F31AD"/>
    <w:rsid w:val="005F4016"/>
    <w:rsid w:val="005F558D"/>
    <w:rsid w:val="005F61E6"/>
    <w:rsid w:val="005F64FE"/>
    <w:rsid w:val="00601883"/>
    <w:rsid w:val="00606F51"/>
    <w:rsid w:val="006073FA"/>
    <w:rsid w:val="006075A0"/>
    <w:rsid w:val="0061178A"/>
    <w:rsid w:val="00617C4F"/>
    <w:rsid w:val="00617D5C"/>
    <w:rsid w:val="00622532"/>
    <w:rsid w:val="00622B65"/>
    <w:rsid w:val="00623E97"/>
    <w:rsid w:val="0062530D"/>
    <w:rsid w:val="00626BFB"/>
    <w:rsid w:val="00627813"/>
    <w:rsid w:val="00627916"/>
    <w:rsid w:val="00631676"/>
    <w:rsid w:val="00632C37"/>
    <w:rsid w:val="00633A6F"/>
    <w:rsid w:val="00633A73"/>
    <w:rsid w:val="006355FD"/>
    <w:rsid w:val="00636A62"/>
    <w:rsid w:val="00640625"/>
    <w:rsid w:val="00640663"/>
    <w:rsid w:val="00641EA0"/>
    <w:rsid w:val="006426A3"/>
    <w:rsid w:val="00643CF8"/>
    <w:rsid w:val="00643E6E"/>
    <w:rsid w:val="00644FAE"/>
    <w:rsid w:val="00645DFE"/>
    <w:rsid w:val="00645F8C"/>
    <w:rsid w:val="00647691"/>
    <w:rsid w:val="00655B1B"/>
    <w:rsid w:val="006602F4"/>
    <w:rsid w:val="00663210"/>
    <w:rsid w:val="006633F8"/>
    <w:rsid w:val="0066444C"/>
    <w:rsid w:val="00666A7A"/>
    <w:rsid w:val="00671830"/>
    <w:rsid w:val="00671984"/>
    <w:rsid w:val="00671CD1"/>
    <w:rsid w:val="0067244D"/>
    <w:rsid w:val="00672989"/>
    <w:rsid w:val="00673565"/>
    <w:rsid w:val="00673E2E"/>
    <w:rsid w:val="00682012"/>
    <w:rsid w:val="00692C0A"/>
    <w:rsid w:val="00694C83"/>
    <w:rsid w:val="00697507"/>
    <w:rsid w:val="006A43B1"/>
    <w:rsid w:val="006A5043"/>
    <w:rsid w:val="006A52B9"/>
    <w:rsid w:val="006A554A"/>
    <w:rsid w:val="006B320D"/>
    <w:rsid w:val="006B34D5"/>
    <w:rsid w:val="006B5C5D"/>
    <w:rsid w:val="006B6452"/>
    <w:rsid w:val="006B679F"/>
    <w:rsid w:val="006B7208"/>
    <w:rsid w:val="006C1583"/>
    <w:rsid w:val="006C1AAA"/>
    <w:rsid w:val="006C1F90"/>
    <w:rsid w:val="006C26CB"/>
    <w:rsid w:val="006C34BC"/>
    <w:rsid w:val="006C34D9"/>
    <w:rsid w:val="006C5D21"/>
    <w:rsid w:val="006C6B90"/>
    <w:rsid w:val="006C7C2D"/>
    <w:rsid w:val="006C7EFA"/>
    <w:rsid w:val="006D2EA3"/>
    <w:rsid w:val="006D5267"/>
    <w:rsid w:val="006D653B"/>
    <w:rsid w:val="006D6F18"/>
    <w:rsid w:val="006D72C8"/>
    <w:rsid w:val="006D7EFF"/>
    <w:rsid w:val="006E2C4B"/>
    <w:rsid w:val="006E5213"/>
    <w:rsid w:val="006E5F7A"/>
    <w:rsid w:val="006E72E0"/>
    <w:rsid w:val="006F1C99"/>
    <w:rsid w:val="006F1D3A"/>
    <w:rsid w:val="006F4C3C"/>
    <w:rsid w:val="006F5372"/>
    <w:rsid w:val="006F540D"/>
    <w:rsid w:val="006F6AAF"/>
    <w:rsid w:val="006F6E65"/>
    <w:rsid w:val="006F778E"/>
    <w:rsid w:val="0070005E"/>
    <w:rsid w:val="00702984"/>
    <w:rsid w:val="00703D8E"/>
    <w:rsid w:val="00704027"/>
    <w:rsid w:val="007050B4"/>
    <w:rsid w:val="00706665"/>
    <w:rsid w:val="0070745A"/>
    <w:rsid w:val="00707EA7"/>
    <w:rsid w:val="00710EF7"/>
    <w:rsid w:val="00711973"/>
    <w:rsid w:val="007149E0"/>
    <w:rsid w:val="00715A47"/>
    <w:rsid w:val="00716574"/>
    <w:rsid w:val="0071706E"/>
    <w:rsid w:val="00720039"/>
    <w:rsid w:val="0072106C"/>
    <w:rsid w:val="00722D41"/>
    <w:rsid w:val="00722D82"/>
    <w:rsid w:val="00723183"/>
    <w:rsid w:val="007249B2"/>
    <w:rsid w:val="00724CC0"/>
    <w:rsid w:val="00725681"/>
    <w:rsid w:val="00726C0D"/>
    <w:rsid w:val="0072791E"/>
    <w:rsid w:val="00730920"/>
    <w:rsid w:val="007313C0"/>
    <w:rsid w:val="00732AD7"/>
    <w:rsid w:val="00733335"/>
    <w:rsid w:val="0073411B"/>
    <w:rsid w:val="0074261A"/>
    <w:rsid w:val="0074347F"/>
    <w:rsid w:val="00751D26"/>
    <w:rsid w:val="00755370"/>
    <w:rsid w:val="00755620"/>
    <w:rsid w:val="00756959"/>
    <w:rsid w:val="007578A6"/>
    <w:rsid w:val="00760735"/>
    <w:rsid w:val="00760FC0"/>
    <w:rsid w:val="00763DB0"/>
    <w:rsid w:val="00766742"/>
    <w:rsid w:val="0076731A"/>
    <w:rsid w:val="00767DB7"/>
    <w:rsid w:val="00770C3B"/>
    <w:rsid w:val="00772828"/>
    <w:rsid w:val="00773F73"/>
    <w:rsid w:val="00774EAA"/>
    <w:rsid w:val="0077511F"/>
    <w:rsid w:val="00776F89"/>
    <w:rsid w:val="007777C5"/>
    <w:rsid w:val="00782058"/>
    <w:rsid w:val="00783EC2"/>
    <w:rsid w:val="00786F1A"/>
    <w:rsid w:val="007917E8"/>
    <w:rsid w:val="007923FE"/>
    <w:rsid w:val="00795977"/>
    <w:rsid w:val="007A09D2"/>
    <w:rsid w:val="007A0E1F"/>
    <w:rsid w:val="007A1E79"/>
    <w:rsid w:val="007A5343"/>
    <w:rsid w:val="007A5950"/>
    <w:rsid w:val="007A724F"/>
    <w:rsid w:val="007A7E21"/>
    <w:rsid w:val="007B0250"/>
    <w:rsid w:val="007B6A3D"/>
    <w:rsid w:val="007B6FBE"/>
    <w:rsid w:val="007C0B08"/>
    <w:rsid w:val="007C1073"/>
    <w:rsid w:val="007C308F"/>
    <w:rsid w:val="007C348A"/>
    <w:rsid w:val="007C53FF"/>
    <w:rsid w:val="007C7862"/>
    <w:rsid w:val="007C7DFD"/>
    <w:rsid w:val="007D0F77"/>
    <w:rsid w:val="007D3DD1"/>
    <w:rsid w:val="007D6F87"/>
    <w:rsid w:val="007E0DE1"/>
    <w:rsid w:val="007E12D5"/>
    <w:rsid w:val="007E1652"/>
    <w:rsid w:val="007E23E4"/>
    <w:rsid w:val="007E299E"/>
    <w:rsid w:val="007E2BFD"/>
    <w:rsid w:val="007E4063"/>
    <w:rsid w:val="007E4D94"/>
    <w:rsid w:val="007E665A"/>
    <w:rsid w:val="007E668D"/>
    <w:rsid w:val="007F1240"/>
    <w:rsid w:val="007F3A68"/>
    <w:rsid w:val="007F3E44"/>
    <w:rsid w:val="007F40B7"/>
    <w:rsid w:val="007F4A4A"/>
    <w:rsid w:val="007F6100"/>
    <w:rsid w:val="008010E6"/>
    <w:rsid w:val="00801BEA"/>
    <w:rsid w:val="00803F3D"/>
    <w:rsid w:val="008041A1"/>
    <w:rsid w:val="00804599"/>
    <w:rsid w:val="00806937"/>
    <w:rsid w:val="00810FF1"/>
    <w:rsid w:val="00811F09"/>
    <w:rsid w:val="008150CA"/>
    <w:rsid w:val="008153A6"/>
    <w:rsid w:val="008158C8"/>
    <w:rsid w:val="008169C1"/>
    <w:rsid w:val="008171CA"/>
    <w:rsid w:val="0082454A"/>
    <w:rsid w:val="00825173"/>
    <w:rsid w:val="00825DB1"/>
    <w:rsid w:val="008261C8"/>
    <w:rsid w:val="008266A4"/>
    <w:rsid w:val="00832B7E"/>
    <w:rsid w:val="008333F4"/>
    <w:rsid w:val="00833CD3"/>
    <w:rsid w:val="008348B1"/>
    <w:rsid w:val="00835643"/>
    <w:rsid w:val="00835691"/>
    <w:rsid w:val="00840BAD"/>
    <w:rsid w:val="00842817"/>
    <w:rsid w:val="0084425D"/>
    <w:rsid w:val="00844425"/>
    <w:rsid w:val="008449D9"/>
    <w:rsid w:val="00846E7B"/>
    <w:rsid w:val="008514C3"/>
    <w:rsid w:val="0085679A"/>
    <w:rsid w:val="0086140D"/>
    <w:rsid w:val="00863193"/>
    <w:rsid w:val="00863686"/>
    <w:rsid w:val="0086555D"/>
    <w:rsid w:val="00871287"/>
    <w:rsid w:val="00872780"/>
    <w:rsid w:val="00874D13"/>
    <w:rsid w:val="00874EFE"/>
    <w:rsid w:val="00876C7A"/>
    <w:rsid w:val="00876D77"/>
    <w:rsid w:val="00890C7B"/>
    <w:rsid w:val="0089250C"/>
    <w:rsid w:val="008926E1"/>
    <w:rsid w:val="00892B0E"/>
    <w:rsid w:val="008963C3"/>
    <w:rsid w:val="008A0500"/>
    <w:rsid w:val="008A283E"/>
    <w:rsid w:val="008B0A2E"/>
    <w:rsid w:val="008B2061"/>
    <w:rsid w:val="008B3211"/>
    <w:rsid w:val="008B5AB4"/>
    <w:rsid w:val="008B6FF1"/>
    <w:rsid w:val="008B706C"/>
    <w:rsid w:val="008B719A"/>
    <w:rsid w:val="008B7D0E"/>
    <w:rsid w:val="008C0E25"/>
    <w:rsid w:val="008C365F"/>
    <w:rsid w:val="008C3E79"/>
    <w:rsid w:val="008C5677"/>
    <w:rsid w:val="008C597B"/>
    <w:rsid w:val="008C6790"/>
    <w:rsid w:val="008D1719"/>
    <w:rsid w:val="008D4C73"/>
    <w:rsid w:val="008D5C9F"/>
    <w:rsid w:val="008D7402"/>
    <w:rsid w:val="008D7FE0"/>
    <w:rsid w:val="008E1044"/>
    <w:rsid w:val="008E2565"/>
    <w:rsid w:val="008E26FE"/>
    <w:rsid w:val="008E374C"/>
    <w:rsid w:val="008E4BA0"/>
    <w:rsid w:val="008E50DA"/>
    <w:rsid w:val="008E6449"/>
    <w:rsid w:val="008E7A08"/>
    <w:rsid w:val="008E7F13"/>
    <w:rsid w:val="008F218D"/>
    <w:rsid w:val="008F535C"/>
    <w:rsid w:val="008F5821"/>
    <w:rsid w:val="008F7E4A"/>
    <w:rsid w:val="00901597"/>
    <w:rsid w:val="00905418"/>
    <w:rsid w:val="00906F84"/>
    <w:rsid w:val="009119BA"/>
    <w:rsid w:val="00914BE8"/>
    <w:rsid w:val="00922E66"/>
    <w:rsid w:val="00923498"/>
    <w:rsid w:val="009238E7"/>
    <w:rsid w:val="00923A6E"/>
    <w:rsid w:val="00923D2C"/>
    <w:rsid w:val="00926A7F"/>
    <w:rsid w:val="00927EF1"/>
    <w:rsid w:val="00931DC9"/>
    <w:rsid w:val="00932CD8"/>
    <w:rsid w:val="00934820"/>
    <w:rsid w:val="00936BF5"/>
    <w:rsid w:val="00941EFB"/>
    <w:rsid w:val="009434BC"/>
    <w:rsid w:val="00944629"/>
    <w:rsid w:val="00945A72"/>
    <w:rsid w:val="0094640A"/>
    <w:rsid w:val="00950300"/>
    <w:rsid w:val="009520E9"/>
    <w:rsid w:val="009521FD"/>
    <w:rsid w:val="009537D2"/>
    <w:rsid w:val="00953B5B"/>
    <w:rsid w:val="009566E1"/>
    <w:rsid w:val="009570B0"/>
    <w:rsid w:val="00957765"/>
    <w:rsid w:val="0096083A"/>
    <w:rsid w:val="009617B7"/>
    <w:rsid w:val="00961BA2"/>
    <w:rsid w:val="009642D6"/>
    <w:rsid w:val="00964F94"/>
    <w:rsid w:val="00965197"/>
    <w:rsid w:val="009651EB"/>
    <w:rsid w:val="009653CC"/>
    <w:rsid w:val="0096607E"/>
    <w:rsid w:val="00967737"/>
    <w:rsid w:val="00970BF9"/>
    <w:rsid w:val="009713F2"/>
    <w:rsid w:val="00974970"/>
    <w:rsid w:val="00975FE3"/>
    <w:rsid w:val="009768E1"/>
    <w:rsid w:val="0097736B"/>
    <w:rsid w:val="00977E6D"/>
    <w:rsid w:val="009808E4"/>
    <w:rsid w:val="0098115D"/>
    <w:rsid w:val="00981408"/>
    <w:rsid w:val="00982213"/>
    <w:rsid w:val="00984410"/>
    <w:rsid w:val="00985174"/>
    <w:rsid w:val="009857E9"/>
    <w:rsid w:val="009858AB"/>
    <w:rsid w:val="00986620"/>
    <w:rsid w:val="00987DF3"/>
    <w:rsid w:val="0099163B"/>
    <w:rsid w:val="00992DB4"/>
    <w:rsid w:val="00994D02"/>
    <w:rsid w:val="00995404"/>
    <w:rsid w:val="0099565F"/>
    <w:rsid w:val="009A1702"/>
    <w:rsid w:val="009A3B36"/>
    <w:rsid w:val="009A40FA"/>
    <w:rsid w:val="009B24DF"/>
    <w:rsid w:val="009B4680"/>
    <w:rsid w:val="009B6032"/>
    <w:rsid w:val="009B6968"/>
    <w:rsid w:val="009B6F5A"/>
    <w:rsid w:val="009C0A58"/>
    <w:rsid w:val="009C41A3"/>
    <w:rsid w:val="009C53C0"/>
    <w:rsid w:val="009C73C4"/>
    <w:rsid w:val="009E2778"/>
    <w:rsid w:val="009E2890"/>
    <w:rsid w:val="009E2EBC"/>
    <w:rsid w:val="009E55F8"/>
    <w:rsid w:val="009E738E"/>
    <w:rsid w:val="009F0320"/>
    <w:rsid w:val="009F2ECA"/>
    <w:rsid w:val="009F2FA6"/>
    <w:rsid w:val="009F30A6"/>
    <w:rsid w:val="009F39E7"/>
    <w:rsid w:val="009F40C8"/>
    <w:rsid w:val="00A00F00"/>
    <w:rsid w:val="00A03B54"/>
    <w:rsid w:val="00A07340"/>
    <w:rsid w:val="00A0747F"/>
    <w:rsid w:val="00A102BE"/>
    <w:rsid w:val="00A11E00"/>
    <w:rsid w:val="00A12842"/>
    <w:rsid w:val="00A13422"/>
    <w:rsid w:val="00A14563"/>
    <w:rsid w:val="00A15B16"/>
    <w:rsid w:val="00A207AF"/>
    <w:rsid w:val="00A21608"/>
    <w:rsid w:val="00A21AA3"/>
    <w:rsid w:val="00A21D7F"/>
    <w:rsid w:val="00A22BC5"/>
    <w:rsid w:val="00A237BE"/>
    <w:rsid w:val="00A300F2"/>
    <w:rsid w:val="00A30561"/>
    <w:rsid w:val="00A30762"/>
    <w:rsid w:val="00A320E0"/>
    <w:rsid w:val="00A3257E"/>
    <w:rsid w:val="00A33AD6"/>
    <w:rsid w:val="00A4044C"/>
    <w:rsid w:val="00A41AAB"/>
    <w:rsid w:val="00A41F2B"/>
    <w:rsid w:val="00A43947"/>
    <w:rsid w:val="00A44E37"/>
    <w:rsid w:val="00A45930"/>
    <w:rsid w:val="00A47BE5"/>
    <w:rsid w:val="00A50BC3"/>
    <w:rsid w:val="00A56882"/>
    <w:rsid w:val="00A56FEC"/>
    <w:rsid w:val="00A57202"/>
    <w:rsid w:val="00A6112E"/>
    <w:rsid w:val="00A6222D"/>
    <w:rsid w:val="00A6309C"/>
    <w:rsid w:val="00A639A2"/>
    <w:rsid w:val="00A65DD1"/>
    <w:rsid w:val="00A66C39"/>
    <w:rsid w:val="00A71CDD"/>
    <w:rsid w:val="00A7720D"/>
    <w:rsid w:val="00A775F4"/>
    <w:rsid w:val="00A84149"/>
    <w:rsid w:val="00A8508E"/>
    <w:rsid w:val="00A947D6"/>
    <w:rsid w:val="00A94DD6"/>
    <w:rsid w:val="00A96A59"/>
    <w:rsid w:val="00A97213"/>
    <w:rsid w:val="00AA20ED"/>
    <w:rsid w:val="00AA26EE"/>
    <w:rsid w:val="00AA6196"/>
    <w:rsid w:val="00AA6E92"/>
    <w:rsid w:val="00AA74D0"/>
    <w:rsid w:val="00AB10E8"/>
    <w:rsid w:val="00AB30C4"/>
    <w:rsid w:val="00AB3D05"/>
    <w:rsid w:val="00AB5740"/>
    <w:rsid w:val="00AB5E6C"/>
    <w:rsid w:val="00AC0225"/>
    <w:rsid w:val="00AC19F6"/>
    <w:rsid w:val="00AC206E"/>
    <w:rsid w:val="00AC3C05"/>
    <w:rsid w:val="00AC4B33"/>
    <w:rsid w:val="00AC6492"/>
    <w:rsid w:val="00AC67A1"/>
    <w:rsid w:val="00AC6879"/>
    <w:rsid w:val="00AC6C14"/>
    <w:rsid w:val="00AC70A4"/>
    <w:rsid w:val="00AD017F"/>
    <w:rsid w:val="00AD0B2C"/>
    <w:rsid w:val="00AD3F81"/>
    <w:rsid w:val="00AD668E"/>
    <w:rsid w:val="00AE0573"/>
    <w:rsid w:val="00AE152C"/>
    <w:rsid w:val="00AE1558"/>
    <w:rsid w:val="00AE2E3C"/>
    <w:rsid w:val="00AE50F5"/>
    <w:rsid w:val="00AF202C"/>
    <w:rsid w:val="00AF3C7D"/>
    <w:rsid w:val="00AF4ED4"/>
    <w:rsid w:val="00AF5C9C"/>
    <w:rsid w:val="00AF70B2"/>
    <w:rsid w:val="00B00A9B"/>
    <w:rsid w:val="00B0127D"/>
    <w:rsid w:val="00B01F50"/>
    <w:rsid w:val="00B051D0"/>
    <w:rsid w:val="00B06515"/>
    <w:rsid w:val="00B10CCC"/>
    <w:rsid w:val="00B136C1"/>
    <w:rsid w:val="00B15823"/>
    <w:rsid w:val="00B17670"/>
    <w:rsid w:val="00B20FE0"/>
    <w:rsid w:val="00B21A32"/>
    <w:rsid w:val="00B25C46"/>
    <w:rsid w:val="00B27613"/>
    <w:rsid w:val="00B33713"/>
    <w:rsid w:val="00B33D57"/>
    <w:rsid w:val="00B34A61"/>
    <w:rsid w:val="00B375FD"/>
    <w:rsid w:val="00B40AA4"/>
    <w:rsid w:val="00B43CDF"/>
    <w:rsid w:val="00B44157"/>
    <w:rsid w:val="00B44748"/>
    <w:rsid w:val="00B44F72"/>
    <w:rsid w:val="00B463CE"/>
    <w:rsid w:val="00B47B13"/>
    <w:rsid w:val="00B50826"/>
    <w:rsid w:val="00B51639"/>
    <w:rsid w:val="00B52244"/>
    <w:rsid w:val="00B52249"/>
    <w:rsid w:val="00B524DA"/>
    <w:rsid w:val="00B548F4"/>
    <w:rsid w:val="00B572A8"/>
    <w:rsid w:val="00B60597"/>
    <w:rsid w:val="00B6156F"/>
    <w:rsid w:val="00B63A86"/>
    <w:rsid w:val="00B64BB9"/>
    <w:rsid w:val="00B668F2"/>
    <w:rsid w:val="00B66D67"/>
    <w:rsid w:val="00B6724B"/>
    <w:rsid w:val="00B67499"/>
    <w:rsid w:val="00B70AE2"/>
    <w:rsid w:val="00B72577"/>
    <w:rsid w:val="00B72D20"/>
    <w:rsid w:val="00B73FDD"/>
    <w:rsid w:val="00B81BE4"/>
    <w:rsid w:val="00B826B0"/>
    <w:rsid w:val="00B83B7A"/>
    <w:rsid w:val="00B847D3"/>
    <w:rsid w:val="00B84B47"/>
    <w:rsid w:val="00B84BFC"/>
    <w:rsid w:val="00B85A3A"/>
    <w:rsid w:val="00B86A52"/>
    <w:rsid w:val="00B93BC0"/>
    <w:rsid w:val="00B9707C"/>
    <w:rsid w:val="00B977EC"/>
    <w:rsid w:val="00B97ADE"/>
    <w:rsid w:val="00BA1AD2"/>
    <w:rsid w:val="00BB0BD7"/>
    <w:rsid w:val="00BB3CCC"/>
    <w:rsid w:val="00BB3F50"/>
    <w:rsid w:val="00BB7222"/>
    <w:rsid w:val="00BB777B"/>
    <w:rsid w:val="00BB7A69"/>
    <w:rsid w:val="00BB7C22"/>
    <w:rsid w:val="00BC0B71"/>
    <w:rsid w:val="00BC212A"/>
    <w:rsid w:val="00BC5A24"/>
    <w:rsid w:val="00BD0515"/>
    <w:rsid w:val="00BD1578"/>
    <w:rsid w:val="00BD2149"/>
    <w:rsid w:val="00BD3DDF"/>
    <w:rsid w:val="00BD5599"/>
    <w:rsid w:val="00BD5823"/>
    <w:rsid w:val="00BD5A99"/>
    <w:rsid w:val="00BE3A37"/>
    <w:rsid w:val="00BE3EEA"/>
    <w:rsid w:val="00BE5113"/>
    <w:rsid w:val="00BE56EC"/>
    <w:rsid w:val="00BE7522"/>
    <w:rsid w:val="00BE7A95"/>
    <w:rsid w:val="00BF0A2F"/>
    <w:rsid w:val="00BF258E"/>
    <w:rsid w:val="00BF3771"/>
    <w:rsid w:val="00BF43B4"/>
    <w:rsid w:val="00BF5F4C"/>
    <w:rsid w:val="00BF6428"/>
    <w:rsid w:val="00BF7D0E"/>
    <w:rsid w:val="00C00CD1"/>
    <w:rsid w:val="00C0166F"/>
    <w:rsid w:val="00C032C9"/>
    <w:rsid w:val="00C03F31"/>
    <w:rsid w:val="00C04264"/>
    <w:rsid w:val="00C04D1C"/>
    <w:rsid w:val="00C06489"/>
    <w:rsid w:val="00C10475"/>
    <w:rsid w:val="00C120F2"/>
    <w:rsid w:val="00C14422"/>
    <w:rsid w:val="00C17364"/>
    <w:rsid w:val="00C204EE"/>
    <w:rsid w:val="00C2095E"/>
    <w:rsid w:val="00C27624"/>
    <w:rsid w:val="00C3001D"/>
    <w:rsid w:val="00C3401D"/>
    <w:rsid w:val="00C37419"/>
    <w:rsid w:val="00C379C6"/>
    <w:rsid w:val="00C400AE"/>
    <w:rsid w:val="00C429CE"/>
    <w:rsid w:val="00C46192"/>
    <w:rsid w:val="00C52E55"/>
    <w:rsid w:val="00C565A6"/>
    <w:rsid w:val="00C61961"/>
    <w:rsid w:val="00C64BE0"/>
    <w:rsid w:val="00C64CDB"/>
    <w:rsid w:val="00C6618C"/>
    <w:rsid w:val="00C661E2"/>
    <w:rsid w:val="00C7168C"/>
    <w:rsid w:val="00C71E68"/>
    <w:rsid w:val="00C7244F"/>
    <w:rsid w:val="00C72D7B"/>
    <w:rsid w:val="00C745E1"/>
    <w:rsid w:val="00C80B59"/>
    <w:rsid w:val="00C80E54"/>
    <w:rsid w:val="00C82D66"/>
    <w:rsid w:val="00C83A75"/>
    <w:rsid w:val="00C8401B"/>
    <w:rsid w:val="00C86B1D"/>
    <w:rsid w:val="00C879C2"/>
    <w:rsid w:val="00C911DF"/>
    <w:rsid w:val="00C93938"/>
    <w:rsid w:val="00C9574D"/>
    <w:rsid w:val="00C970B2"/>
    <w:rsid w:val="00C97828"/>
    <w:rsid w:val="00C97B20"/>
    <w:rsid w:val="00CA0091"/>
    <w:rsid w:val="00CA037E"/>
    <w:rsid w:val="00CA1C69"/>
    <w:rsid w:val="00CA4F58"/>
    <w:rsid w:val="00CA581F"/>
    <w:rsid w:val="00CA6320"/>
    <w:rsid w:val="00CB192A"/>
    <w:rsid w:val="00CB1EF8"/>
    <w:rsid w:val="00CB2737"/>
    <w:rsid w:val="00CB2AA9"/>
    <w:rsid w:val="00CB2EC0"/>
    <w:rsid w:val="00CB32FC"/>
    <w:rsid w:val="00CB3A56"/>
    <w:rsid w:val="00CB50A5"/>
    <w:rsid w:val="00CC11FC"/>
    <w:rsid w:val="00CC20C4"/>
    <w:rsid w:val="00CC27BC"/>
    <w:rsid w:val="00CC2F86"/>
    <w:rsid w:val="00CC321D"/>
    <w:rsid w:val="00CC656B"/>
    <w:rsid w:val="00CC7D63"/>
    <w:rsid w:val="00CD26F8"/>
    <w:rsid w:val="00CD2FD0"/>
    <w:rsid w:val="00CD3F79"/>
    <w:rsid w:val="00CD4B7F"/>
    <w:rsid w:val="00CD4DE5"/>
    <w:rsid w:val="00CD7032"/>
    <w:rsid w:val="00CD7C94"/>
    <w:rsid w:val="00CD7F25"/>
    <w:rsid w:val="00CE09DF"/>
    <w:rsid w:val="00CE0BC5"/>
    <w:rsid w:val="00CE24E9"/>
    <w:rsid w:val="00CE2B5D"/>
    <w:rsid w:val="00CE2E2A"/>
    <w:rsid w:val="00CE6C57"/>
    <w:rsid w:val="00CE75B0"/>
    <w:rsid w:val="00CE7E55"/>
    <w:rsid w:val="00CF2064"/>
    <w:rsid w:val="00CF39DD"/>
    <w:rsid w:val="00D00B57"/>
    <w:rsid w:val="00D03574"/>
    <w:rsid w:val="00D058F1"/>
    <w:rsid w:val="00D05F68"/>
    <w:rsid w:val="00D07E56"/>
    <w:rsid w:val="00D131E8"/>
    <w:rsid w:val="00D1618D"/>
    <w:rsid w:val="00D17576"/>
    <w:rsid w:val="00D17D46"/>
    <w:rsid w:val="00D20CDD"/>
    <w:rsid w:val="00D2204A"/>
    <w:rsid w:val="00D31693"/>
    <w:rsid w:val="00D32A32"/>
    <w:rsid w:val="00D32DA6"/>
    <w:rsid w:val="00D338EE"/>
    <w:rsid w:val="00D35579"/>
    <w:rsid w:val="00D3664E"/>
    <w:rsid w:val="00D378F0"/>
    <w:rsid w:val="00D403F7"/>
    <w:rsid w:val="00D40443"/>
    <w:rsid w:val="00D406DC"/>
    <w:rsid w:val="00D4082D"/>
    <w:rsid w:val="00D454F2"/>
    <w:rsid w:val="00D459AC"/>
    <w:rsid w:val="00D460D7"/>
    <w:rsid w:val="00D50E1F"/>
    <w:rsid w:val="00D52532"/>
    <w:rsid w:val="00D52615"/>
    <w:rsid w:val="00D52EB5"/>
    <w:rsid w:val="00D61A60"/>
    <w:rsid w:val="00D62E0E"/>
    <w:rsid w:val="00D6630C"/>
    <w:rsid w:val="00D66873"/>
    <w:rsid w:val="00D67DFD"/>
    <w:rsid w:val="00D7460C"/>
    <w:rsid w:val="00D749F4"/>
    <w:rsid w:val="00D76B99"/>
    <w:rsid w:val="00D80F9B"/>
    <w:rsid w:val="00D81895"/>
    <w:rsid w:val="00D818E2"/>
    <w:rsid w:val="00D82D5D"/>
    <w:rsid w:val="00D84199"/>
    <w:rsid w:val="00D87B9B"/>
    <w:rsid w:val="00D87C17"/>
    <w:rsid w:val="00D90683"/>
    <w:rsid w:val="00D90C87"/>
    <w:rsid w:val="00D91845"/>
    <w:rsid w:val="00D93291"/>
    <w:rsid w:val="00D95442"/>
    <w:rsid w:val="00D95465"/>
    <w:rsid w:val="00D9677F"/>
    <w:rsid w:val="00DA01B9"/>
    <w:rsid w:val="00DA0F3B"/>
    <w:rsid w:val="00DA1688"/>
    <w:rsid w:val="00DA5378"/>
    <w:rsid w:val="00DB32A1"/>
    <w:rsid w:val="00DB5424"/>
    <w:rsid w:val="00DB5D03"/>
    <w:rsid w:val="00DB636E"/>
    <w:rsid w:val="00DB6389"/>
    <w:rsid w:val="00DC251A"/>
    <w:rsid w:val="00DC25DF"/>
    <w:rsid w:val="00DC2875"/>
    <w:rsid w:val="00DC302C"/>
    <w:rsid w:val="00DC3435"/>
    <w:rsid w:val="00DC6E6F"/>
    <w:rsid w:val="00DD3D08"/>
    <w:rsid w:val="00DD52F6"/>
    <w:rsid w:val="00DD7424"/>
    <w:rsid w:val="00DE0D48"/>
    <w:rsid w:val="00DE0DED"/>
    <w:rsid w:val="00DE1B6E"/>
    <w:rsid w:val="00DE2924"/>
    <w:rsid w:val="00DE2C05"/>
    <w:rsid w:val="00DE701C"/>
    <w:rsid w:val="00DF51E7"/>
    <w:rsid w:val="00DF5463"/>
    <w:rsid w:val="00DF5643"/>
    <w:rsid w:val="00DF5A93"/>
    <w:rsid w:val="00E00F5A"/>
    <w:rsid w:val="00E01218"/>
    <w:rsid w:val="00E0241A"/>
    <w:rsid w:val="00E05A26"/>
    <w:rsid w:val="00E05F5D"/>
    <w:rsid w:val="00E06E50"/>
    <w:rsid w:val="00E07BC0"/>
    <w:rsid w:val="00E1082F"/>
    <w:rsid w:val="00E1095C"/>
    <w:rsid w:val="00E13CF6"/>
    <w:rsid w:val="00E162C6"/>
    <w:rsid w:val="00E16C50"/>
    <w:rsid w:val="00E21B80"/>
    <w:rsid w:val="00E249D4"/>
    <w:rsid w:val="00E24DDB"/>
    <w:rsid w:val="00E258FB"/>
    <w:rsid w:val="00E26B2B"/>
    <w:rsid w:val="00E26B9E"/>
    <w:rsid w:val="00E301CB"/>
    <w:rsid w:val="00E30874"/>
    <w:rsid w:val="00E31FA2"/>
    <w:rsid w:val="00E33D6A"/>
    <w:rsid w:val="00E3435D"/>
    <w:rsid w:val="00E3659E"/>
    <w:rsid w:val="00E373C1"/>
    <w:rsid w:val="00E37C7E"/>
    <w:rsid w:val="00E37D3A"/>
    <w:rsid w:val="00E42080"/>
    <w:rsid w:val="00E440A4"/>
    <w:rsid w:val="00E44331"/>
    <w:rsid w:val="00E45989"/>
    <w:rsid w:val="00E45AB5"/>
    <w:rsid w:val="00E47662"/>
    <w:rsid w:val="00E47D22"/>
    <w:rsid w:val="00E47E55"/>
    <w:rsid w:val="00E50040"/>
    <w:rsid w:val="00E5042B"/>
    <w:rsid w:val="00E50880"/>
    <w:rsid w:val="00E510B7"/>
    <w:rsid w:val="00E5148C"/>
    <w:rsid w:val="00E525EB"/>
    <w:rsid w:val="00E53554"/>
    <w:rsid w:val="00E545CE"/>
    <w:rsid w:val="00E56750"/>
    <w:rsid w:val="00E57BFD"/>
    <w:rsid w:val="00E63D48"/>
    <w:rsid w:val="00E64303"/>
    <w:rsid w:val="00E700DE"/>
    <w:rsid w:val="00E73CD5"/>
    <w:rsid w:val="00E75BA8"/>
    <w:rsid w:val="00E769A3"/>
    <w:rsid w:val="00E772E3"/>
    <w:rsid w:val="00E77BE5"/>
    <w:rsid w:val="00E81E42"/>
    <w:rsid w:val="00E85C25"/>
    <w:rsid w:val="00E860C2"/>
    <w:rsid w:val="00E8613E"/>
    <w:rsid w:val="00E86D27"/>
    <w:rsid w:val="00E872F7"/>
    <w:rsid w:val="00E87EA0"/>
    <w:rsid w:val="00E9018F"/>
    <w:rsid w:val="00E93106"/>
    <w:rsid w:val="00E936CF"/>
    <w:rsid w:val="00E97299"/>
    <w:rsid w:val="00E97355"/>
    <w:rsid w:val="00E9797A"/>
    <w:rsid w:val="00EA036F"/>
    <w:rsid w:val="00EA1B8B"/>
    <w:rsid w:val="00EA1FCD"/>
    <w:rsid w:val="00EA2998"/>
    <w:rsid w:val="00EA57AA"/>
    <w:rsid w:val="00EA59AD"/>
    <w:rsid w:val="00EB264F"/>
    <w:rsid w:val="00EB7292"/>
    <w:rsid w:val="00EC0898"/>
    <w:rsid w:val="00EC130E"/>
    <w:rsid w:val="00EC25C9"/>
    <w:rsid w:val="00EC435B"/>
    <w:rsid w:val="00EC5109"/>
    <w:rsid w:val="00EC752C"/>
    <w:rsid w:val="00EC7E2A"/>
    <w:rsid w:val="00ED09A0"/>
    <w:rsid w:val="00ED30E4"/>
    <w:rsid w:val="00ED39E5"/>
    <w:rsid w:val="00ED3B17"/>
    <w:rsid w:val="00ED5EF9"/>
    <w:rsid w:val="00ED63DE"/>
    <w:rsid w:val="00EE0621"/>
    <w:rsid w:val="00EE0E2F"/>
    <w:rsid w:val="00EE11C5"/>
    <w:rsid w:val="00EE37B3"/>
    <w:rsid w:val="00EE6A26"/>
    <w:rsid w:val="00EF1326"/>
    <w:rsid w:val="00EF1B1B"/>
    <w:rsid w:val="00EF1F1B"/>
    <w:rsid w:val="00EF5EAC"/>
    <w:rsid w:val="00F003E8"/>
    <w:rsid w:val="00F0211F"/>
    <w:rsid w:val="00F0297A"/>
    <w:rsid w:val="00F0429B"/>
    <w:rsid w:val="00F051C0"/>
    <w:rsid w:val="00F054F2"/>
    <w:rsid w:val="00F06A08"/>
    <w:rsid w:val="00F06BA0"/>
    <w:rsid w:val="00F11222"/>
    <w:rsid w:val="00F1334F"/>
    <w:rsid w:val="00F15D5B"/>
    <w:rsid w:val="00F17DCD"/>
    <w:rsid w:val="00F17E08"/>
    <w:rsid w:val="00F2052C"/>
    <w:rsid w:val="00F20D26"/>
    <w:rsid w:val="00F23D64"/>
    <w:rsid w:val="00F279DF"/>
    <w:rsid w:val="00F309CC"/>
    <w:rsid w:val="00F30A47"/>
    <w:rsid w:val="00F3159E"/>
    <w:rsid w:val="00F31D4E"/>
    <w:rsid w:val="00F32AAD"/>
    <w:rsid w:val="00F3331B"/>
    <w:rsid w:val="00F33E2E"/>
    <w:rsid w:val="00F34B35"/>
    <w:rsid w:val="00F37CEA"/>
    <w:rsid w:val="00F42A46"/>
    <w:rsid w:val="00F43F3E"/>
    <w:rsid w:val="00F459C4"/>
    <w:rsid w:val="00F46B75"/>
    <w:rsid w:val="00F500B3"/>
    <w:rsid w:val="00F5064E"/>
    <w:rsid w:val="00F54F8B"/>
    <w:rsid w:val="00F6001F"/>
    <w:rsid w:val="00F602EE"/>
    <w:rsid w:val="00F634DD"/>
    <w:rsid w:val="00F639B9"/>
    <w:rsid w:val="00F655C5"/>
    <w:rsid w:val="00F65C7D"/>
    <w:rsid w:val="00F66F85"/>
    <w:rsid w:val="00F67114"/>
    <w:rsid w:val="00F70761"/>
    <w:rsid w:val="00F72259"/>
    <w:rsid w:val="00F77ADF"/>
    <w:rsid w:val="00F80B32"/>
    <w:rsid w:val="00F81030"/>
    <w:rsid w:val="00F82905"/>
    <w:rsid w:val="00F8353E"/>
    <w:rsid w:val="00F84A6D"/>
    <w:rsid w:val="00F84BA3"/>
    <w:rsid w:val="00F8626D"/>
    <w:rsid w:val="00F95CC3"/>
    <w:rsid w:val="00F95D75"/>
    <w:rsid w:val="00F968B1"/>
    <w:rsid w:val="00F96E73"/>
    <w:rsid w:val="00FA0058"/>
    <w:rsid w:val="00FA1837"/>
    <w:rsid w:val="00FA3FB4"/>
    <w:rsid w:val="00FA6C1C"/>
    <w:rsid w:val="00FB0D39"/>
    <w:rsid w:val="00FB31E4"/>
    <w:rsid w:val="00FB466F"/>
    <w:rsid w:val="00FB4A11"/>
    <w:rsid w:val="00FB5F4D"/>
    <w:rsid w:val="00FB7901"/>
    <w:rsid w:val="00FC4B47"/>
    <w:rsid w:val="00FC6081"/>
    <w:rsid w:val="00FC705E"/>
    <w:rsid w:val="00FD184A"/>
    <w:rsid w:val="00FD3AF0"/>
    <w:rsid w:val="00FD7BE0"/>
    <w:rsid w:val="00FD7C6D"/>
    <w:rsid w:val="00FD7F0D"/>
    <w:rsid w:val="00FE1D35"/>
    <w:rsid w:val="00FE1F86"/>
    <w:rsid w:val="00FE29C3"/>
    <w:rsid w:val="00FE3BB0"/>
    <w:rsid w:val="00FE5657"/>
    <w:rsid w:val="00FE5E73"/>
    <w:rsid w:val="00FE71F0"/>
    <w:rsid w:val="00FF1A91"/>
    <w:rsid w:val="00FF2030"/>
    <w:rsid w:val="00FF35D1"/>
    <w:rsid w:val="00FF49FD"/>
    <w:rsid w:val="00FF4BBB"/>
    <w:rsid w:val="00FF5A85"/>
    <w:rsid w:val="016C33FA"/>
    <w:rsid w:val="01A7022B"/>
    <w:rsid w:val="01B446F6"/>
    <w:rsid w:val="01E4322D"/>
    <w:rsid w:val="024A0BB7"/>
    <w:rsid w:val="03667C72"/>
    <w:rsid w:val="0385459C"/>
    <w:rsid w:val="038E760A"/>
    <w:rsid w:val="03EF34D3"/>
    <w:rsid w:val="04835688"/>
    <w:rsid w:val="04A2666D"/>
    <w:rsid w:val="05157BA2"/>
    <w:rsid w:val="051A0924"/>
    <w:rsid w:val="06805E5C"/>
    <w:rsid w:val="07437960"/>
    <w:rsid w:val="081140E1"/>
    <w:rsid w:val="0817778D"/>
    <w:rsid w:val="086955C6"/>
    <w:rsid w:val="096B5FE2"/>
    <w:rsid w:val="0AA35D47"/>
    <w:rsid w:val="0B6B4077"/>
    <w:rsid w:val="0BFC5C04"/>
    <w:rsid w:val="0D5F3A7D"/>
    <w:rsid w:val="0E9438E5"/>
    <w:rsid w:val="0EB805F1"/>
    <w:rsid w:val="0EEC06CB"/>
    <w:rsid w:val="0F010FFC"/>
    <w:rsid w:val="132A1569"/>
    <w:rsid w:val="16D11B1D"/>
    <w:rsid w:val="16D63E48"/>
    <w:rsid w:val="17606C56"/>
    <w:rsid w:val="17884ACD"/>
    <w:rsid w:val="17982FE6"/>
    <w:rsid w:val="18DC0363"/>
    <w:rsid w:val="18EA6F23"/>
    <w:rsid w:val="195C3428"/>
    <w:rsid w:val="19EE79AA"/>
    <w:rsid w:val="1AC76DF0"/>
    <w:rsid w:val="1D4568CB"/>
    <w:rsid w:val="1EED3138"/>
    <w:rsid w:val="1F1B675E"/>
    <w:rsid w:val="1F901EA7"/>
    <w:rsid w:val="20054643"/>
    <w:rsid w:val="2275389D"/>
    <w:rsid w:val="22FF174B"/>
    <w:rsid w:val="230B6414"/>
    <w:rsid w:val="23BF762A"/>
    <w:rsid w:val="23E26A49"/>
    <w:rsid w:val="240D1D18"/>
    <w:rsid w:val="24CB2202"/>
    <w:rsid w:val="25585215"/>
    <w:rsid w:val="25E46AA9"/>
    <w:rsid w:val="260B45FD"/>
    <w:rsid w:val="284D3C27"/>
    <w:rsid w:val="29667F5D"/>
    <w:rsid w:val="2A077209"/>
    <w:rsid w:val="2AD510B6"/>
    <w:rsid w:val="2B1559B2"/>
    <w:rsid w:val="2E1343CF"/>
    <w:rsid w:val="2E441B11"/>
    <w:rsid w:val="2F4A0152"/>
    <w:rsid w:val="303625F7"/>
    <w:rsid w:val="311E39D9"/>
    <w:rsid w:val="31241723"/>
    <w:rsid w:val="313A6515"/>
    <w:rsid w:val="31F2388F"/>
    <w:rsid w:val="32096215"/>
    <w:rsid w:val="325D7E85"/>
    <w:rsid w:val="32BF68D3"/>
    <w:rsid w:val="332826CA"/>
    <w:rsid w:val="33912901"/>
    <w:rsid w:val="34172F02"/>
    <w:rsid w:val="34C60306"/>
    <w:rsid w:val="351E210D"/>
    <w:rsid w:val="35C17972"/>
    <w:rsid w:val="35D73F34"/>
    <w:rsid w:val="36411800"/>
    <w:rsid w:val="36745C27"/>
    <w:rsid w:val="38657F1D"/>
    <w:rsid w:val="39050DB8"/>
    <w:rsid w:val="394A2C6F"/>
    <w:rsid w:val="395272BF"/>
    <w:rsid w:val="39AF60D4"/>
    <w:rsid w:val="3AE33373"/>
    <w:rsid w:val="3B5119C7"/>
    <w:rsid w:val="3BFE611D"/>
    <w:rsid w:val="3C2B4FD9"/>
    <w:rsid w:val="3C6D55F2"/>
    <w:rsid w:val="3CFB0E50"/>
    <w:rsid w:val="3E526D78"/>
    <w:rsid w:val="3E530817"/>
    <w:rsid w:val="3EE10B48"/>
    <w:rsid w:val="3EF63E9F"/>
    <w:rsid w:val="42170EE5"/>
    <w:rsid w:val="421D04F4"/>
    <w:rsid w:val="42B45D29"/>
    <w:rsid w:val="43E924ED"/>
    <w:rsid w:val="45E87A97"/>
    <w:rsid w:val="466B25F0"/>
    <w:rsid w:val="46A93DC0"/>
    <w:rsid w:val="4709321D"/>
    <w:rsid w:val="479B678F"/>
    <w:rsid w:val="47AD2D46"/>
    <w:rsid w:val="47F6649C"/>
    <w:rsid w:val="4837048B"/>
    <w:rsid w:val="48850837"/>
    <w:rsid w:val="49F36E0F"/>
    <w:rsid w:val="4A3E237C"/>
    <w:rsid w:val="4AE83716"/>
    <w:rsid w:val="4B010CBC"/>
    <w:rsid w:val="4C742085"/>
    <w:rsid w:val="4CB37051"/>
    <w:rsid w:val="4D04165B"/>
    <w:rsid w:val="4D0D1DC0"/>
    <w:rsid w:val="4DA150FB"/>
    <w:rsid w:val="4E944C60"/>
    <w:rsid w:val="4EA71DAC"/>
    <w:rsid w:val="4F8D2785"/>
    <w:rsid w:val="502927BC"/>
    <w:rsid w:val="50F47C38"/>
    <w:rsid w:val="51E23F34"/>
    <w:rsid w:val="52786FAD"/>
    <w:rsid w:val="53432FC1"/>
    <w:rsid w:val="5429409D"/>
    <w:rsid w:val="56E16569"/>
    <w:rsid w:val="574134AB"/>
    <w:rsid w:val="592B1245"/>
    <w:rsid w:val="5992660A"/>
    <w:rsid w:val="59C01C6B"/>
    <w:rsid w:val="5A0A4028"/>
    <w:rsid w:val="5B63377F"/>
    <w:rsid w:val="5CDB3A5A"/>
    <w:rsid w:val="5D0B0E3E"/>
    <w:rsid w:val="5DF03535"/>
    <w:rsid w:val="5E217864"/>
    <w:rsid w:val="5F0600F4"/>
    <w:rsid w:val="5F0E45BB"/>
    <w:rsid w:val="60B151FE"/>
    <w:rsid w:val="61534507"/>
    <w:rsid w:val="618943CD"/>
    <w:rsid w:val="61F21F72"/>
    <w:rsid w:val="6224651B"/>
    <w:rsid w:val="62943029"/>
    <w:rsid w:val="63691DC0"/>
    <w:rsid w:val="63E313B0"/>
    <w:rsid w:val="6407257D"/>
    <w:rsid w:val="64B8726F"/>
    <w:rsid w:val="64FB2AA9"/>
    <w:rsid w:val="652C7357"/>
    <w:rsid w:val="65A96DEB"/>
    <w:rsid w:val="6638402D"/>
    <w:rsid w:val="672524A2"/>
    <w:rsid w:val="683A3D2B"/>
    <w:rsid w:val="69A00347"/>
    <w:rsid w:val="69D55717"/>
    <w:rsid w:val="6B7B2FD8"/>
    <w:rsid w:val="6BB43DF4"/>
    <w:rsid w:val="6BE6131B"/>
    <w:rsid w:val="6C645949"/>
    <w:rsid w:val="6DC9627D"/>
    <w:rsid w:val="6EB36B44"/>
    <w:rsid w:val="70D67075"/>
    <w:rsid w:val="70E84C6C"/>
    <w:rsid w:val="70F3716D"/>
    <w:rsid w:val="717B38CD"/>
    <w:rsid w:val="71D523DD"/>
    <w:rsid w:val="733E6DC5"/>
    <w:rsid w:val="73F174A4"/>
    <w:rsid w:val="75517592"/>
    <w:rsid w:val="76CA582B"/>
    <w:rsid w:val="76F21FAA"/>
    <w:rsid w:val="792F5E00"/>
    <w:rsid w:val="799012AE"/>
    <w:rsid w:val="79BF6786"/>
    <w:rsid w:val="7A13262E"/>
    <w:rsid w:val="7A2C1EEB"/>
    <w:rsid w:val="7C0B3F04"/>
    <w:rsid w:val="7C3F770A"/>
    <w:rsid w:val="7CE04A49"/>
    <w:rsid w:val="7D277330"/>
    <w:rsid w:val="7D360B0D"/>
    <w:rsid w:val="7E1A21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0" w:name="Normal Indent"/>
    <w:lsdException w:qFormat="1" w:unhideWhenUsed="0" w:uiPriority="99" w:semiHidden="0" w:name="footnote text"/>
    <w:lsdException w:qFormat="1"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qFormat="1" w:unhideWhenUsed="0" w:uiPriority="99" w:semiHidden="0" w:name="footnote reference"/>
    <w:lsdException w:uiPriority="0" w:name="annotation reference"/>
    <w:lsdException w:uiPriority="0" w:name="line number"/>
    <w:lsdException w:uiPriority="0" w:name="page number"/>
    <w:lsdException w:qFormat="1" w:uiPriority="99" w:semiHidden="0" w:name="endnote reference"/>
    <w:lsdException w:qFormat="1" w:uiPriority="99" w:semiHidden="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iPriority="99"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20" w:semiHidden="0" w:name="Emphasis"/>
    <w:lsdException w:qFormat="1"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paragraph" w:styleId="2">
    <w:name w:val="heading 1"/>
    <w:next w:val="1"/>
    <w:link w:val="43"/>
    <w:qFormat/>
    <w:uiPriority w:val="9"/>
    <w:pPr>
      <w:widowControl w:val="0"/>
      <w:numPr>
        <w:ilvl w:val="0"/>
        <w:numId w:val="1"/>
      </w:numPr>
      <w:spacing w:beforeLines="50" w:afterLines="50"/>
      <w:outlineLvl w:val="0"/>
    </w:pPr>
    <w:rPr>
      <w:rFonts w:ascii="Times New Roman" w:hAnsi="Times New Roman" w:eastAsia="黑体" w:cs="Times New Roman"/>
      <w:b/>
      <w:bCs/>
      <w:kern w:val="44"/>
      <w:sz w:val="32"/>
      <w:szCs w:val="44"/>
      <w:lang w:val="en-US" w:eastAsia="zh-CN" w:bidi="ar-SA"/>
    </w:rPr>
  </w:style>
  <w:style w:type="paragraph" w:styleId="3">
    <w:name w:val="heading 2"/>
    <w:next w:val="1"/>
    <w:link w:val="44"/>
    <w:unhideWhenUsed/>
    <w:qFormat/>
    <w:uiPriority w:val="9"/>
    <w:pPr>
      <w:widowControl w:val="0"/>
      <w:numPr>
        <w:ilvl w:val="1"/>
        <w:numId w:val="1"/>
      </w:numPr>
      <w:outlineLvl w:val="1"/>
    </w:pPr>
    <w:rPr>
      <w:rFonts w:ascii="Times New Roman" w:hAnsi="Times New Roman" w:eastAsia="黑体" w:cs="Times New Roman"/>
      <w:b/>
      <w:kern w:val="2"/>
      <w:sz w:val="28"/>
      <w:szCs w:val="32"/>
      <w:lang w:val="en-US" w:eastAsia="zh-CN" w:bidi="ar-SA"/>
    </w:rPr>
  </w:style>
  <w:style w:type="paragraph" w:styleId="4">
    <w:name w:val="heading 3"/>
    <w:next w:val="1"/>
    <w:link w:val="45"/>
    <w:unhideWhenUsed/>
    <w:qFormat/>
    <w:uiPriority w:val="9"/>
    <w:pPr>
      <w:widowControl w:val="0"/>
      <w:outlineLvl w:val="2"/>
    </w:pPr>
    <w:rPr>
      <w:rFonts w:ascii="Times New Roman" w:hAnsi="Times New Roman" w:eastAsia="宋体" w:cs="Times New Roman"/>
      <w:bCs/>
      <w:kern w:val="2"/>
      <w:sz w:val="21"/>
      <w:szCs w:val="32"/>
      <w:lang w:val="en-US" w:eastAsia="zh-CN" w:bidi="ar-SA"/>
    </w:rPr>
  </w:style>
  <w:style w:type="paragraph" w:styleId="5">
    <w:name w:val="heading 4"/>
    <w:basedOn w:val="1"/>
    <w:next w:val="1"/>
    <w:link w:val="53"/>
    <w:unhideWhenUsed/>
    <w:qFormat/>
    <w:uiPriority w:val="9"/>
    <w:pPr>
      <w:numPr>
        <w:ilvl w:val="3"/>
        <w:numId w:val="1"/>
      </w:numPr>
      <w:spacing w:beforeLines="50"/>
      <w:outlineLvl w:val="3"/>
    </w:pPr>
    <w:rPr>
      <w:rFonts w:ascii="Calibri Light" w:hAnsi="Calibri Light" w:cs="Times New Roman"/>
      <w:bCs/>
      <w:szCs w:val="28"/>
    </w:rPr>
  </w:style>
  <w:style w:type="paragraph" w:styleId="6">
    <w:name w:val="heading 5"/>
    <w:basedOn w:val="1"/>
    <w:next w:val="1"/>
    <w:link w:val="54"/>
    <w:unhideWhenUsed/>
    <w:qFormat/>
    <w:uiPriority w:val="9"/>
    <w:pPr>
      <w:numPr>
        <w:ilvl w:val="4"/>
        <w:numId w:val="1"/>
      </w:numPr>
      <w:spacing w:before="120"/>
      <w:outlineLvl w:val="4"/>
    </w:pPr>
    <w:rPr>
      <w:rFonts w:cs="Times New Roman"/>
      <w:bCs/>
      <w:szCs w:val="28"/>
    </w:rPr>
  </w:style>
  <w:style w:type="paragraph" w:styleId="7">
    <w:name w:val="heading 6"/>
    <w:basedOn w:val="1"/>
    <w:next w:val="1"/>
    <w:link w:val="61"/>
    <w:unhideWhenUsed/>
    <w:qFormat/>
    <w:uiPriority w:val="9"/>
    <w:pPr>
      <w:numPr>
        <w:ilvl w:val="5"/>
        <w:numId w:val="1"/>
      </w:numPr>
      <w:adjustRightInd w:val="0"/>
      <w:spacing w:line="319" w:lineRule="auto"/>
      <w:outlineLvl w:val="5"/>
    </w:pPr>
    <w:rPr>
      <w:rFonts w:ascii="Cambria" w:hAnsi="Cambria" w:cs="Times New Roman"/>
      <w:bCs/>
      <w:szCs w:val="24"/>
    </w:rPr>
  </w:style>
  <w:style w:type="paragraph" w:styleId="8">
    <w:name w:val="heading 7"/>
    <w:basedOn w:val="1"/>
    <w:next w:val="1"/>
    <w:link w:val="69"/>
    <w:unhideWhenUsed/>
    <w:qFormat/>
    <w:uiPriority w:val="9"/>
    <w:pPr>
      <w:numPr>
        <w:ilvl w:val="6"/>
        <w:numId w:val="1"/>
      </w:numPr>
      <w:spacing w:line="319" w:lineRule="auto"/>
      <w:outlineLvl w:val="6"/>
    </w:pPr>
    <w:rPr>
      <w:rFonts w:cs="Times New Roman"/>
      <w:bCs/>
      <w:szCs w:val="24"/>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9">
    <w:name w:val="toc 7"/>
    <w:basedOn w:val="1"/>
    <w:next w:val="1"/>
    <w:unhideWhenUsed/>
    <w:qFormat/>
    <w:uiPriority w:val="39"/>
    <w:pPr>
      <w:ind w:left="1260"/>
      <w:jc w:val="left"/>
    </w:pPr>
    <w:rPr>
      <w:sz w:val="18"/>
      <w:szCs w:val="18"/>
    </w:rPr>
  </w:style>
  <w:style w:type="paragraph" w:styleId="10">
    <w:name w:val="Document Map"/>
    <w:basedOn w:val="1"/>
    <w:link w:val="70"/>
    <w:semiHidden/>
    <w:unhideWhenUsed/>
    <w:qFormat/>
    <w:uiPriority w:val="0"/>
    <w:rPr>
      <w:rFonts w:ascii="宋体" w:cs="Times New Roman"/>
      <w:sz w:val="18"/>
      <w:szCs w:val="18"/>
    </w:rPr>
  </w:style>
  <w:style w:type="paragraph" w:styleId="11">
    <w:name w:val="annotation text"/>
    <w:basedOn w:val="1"/>
    <w:semiHidden/>
    <w:unhideWhenUsed/>
    <w:qFormat/>
    <w:uiPriority w:val="0"/>
    <w:pPr>
      <w:jc w:val="left"/>
    </w:pPr>
  </w:style>
  <w:style w:type="paragraph" w:styleId="12">
    <w:name w:val="toc 5"/>
    <w:basedOn w:val="1"/>
    <w:next w:val="1"/>
    <w:unhideWhenUsed/>
    <w:qFormat/>
    <w:uiPriority w:val="39"/>
    <w:pPr>
      <w:ind w:left="840"/>
      <w:jc w:val="left"/>
    </w:pPr>
    <w:rPr>
      <w:sz w:val="18"/>
      <w:szCs w:val="18"/>
    </w:rPr>
  </w:style>
  <w:style w:type="paragraph" w:styleId="13">
    <w:name w:val="toc 3"/>
    <w:basedOn w:val="1"/>
    <w:next w:val="1"/>
    <w:unhideWhenUsed/>
    <w:qFormat/>
    <w:uiPriority w:val="39"/>
    <w:pPr>
      <w:ind w:left="420"/>
      <w:jc w:val="left"/>
    </w:pPr>
    <w:rPr>
      <w:i/>
      <w:iCs/>
      <w:sz w:val="20"/>
      <w:szCs w:val="20"/>
    </w:rPr>
  </w:style>
  <w:style w:type="paragraph" w:styleId="14">
    <w:name w:val="Plain Text"/>
    <w:basedOn w:val="1"/>
    <w:qFormat/>
    <w:uiPriority w:val="0"/>
    <w:rPr>
      <w:rFonts w:ascii="宋体" w:hAnsi="Courier New" w:cs="Courier New"/>
      <w:szCs w:val="21"/>
    </w:rPr>
  </w:style>
  <w:style w:type="paragraph" w:styleId="15">
    <w:name w:val="toc 8"/>
    <w:basedOn w:val="1"/>
    <w:next w:val="1"/>
    <w:unhideWhenUsed/>
    <w:qFormat/>
    <w:uiPriority w:val="39"/>
    <w:pPr>
      <w:ind w:left="1470"/>
      <w:jc w:val="left"/>
    </w:pPr>
    <w:rPr>
      <w:sz w:val="18"/>
      <w:szCs w:val="18"/>
    </w:rPr>
  </w:style>
  <w:style w:type="paragraph" w:styleId="16">
    <w:name w:val="Date"/>
    <w:basedOn w:val="1"/>
    <w:next w:val="1"/>
    <w:link w:val="52"/>
    <w:unhideWhenUsed/>
    <w:qFormat/>
    <w:uiPriority w:val="99"/>
    <w:pPr>
      <w:ind w:left="100" w:leftChars="2500"/>
    </w:pPr>
  </w:style>
  <w:style w:type="paragraph" w:styleId="17">
    <w:name w:val="endnote text"/>
    <w:basedOn w:val="1"/>
    <w:link w:val="56"/>
    <w:unhideWhenUsed/>
    <w:qFormat/>
    <w:uiPriority w:val="99"/>
    <w:pPr>
      <w:snapToGrid w:val="0"/>
      <w:jc w:val="left"/>
    </w:pPr>
  </w:style>
  <w:style w:type="paragraph" w:styleId="18">
    <w:name w:val="Balloon Text"/>
    <w:basedOn w:val="1"/>
    <w:link w:val="55"/>
    <w:unhideWhenUsed/>
    <w:qFormat/>
    <w:uiPriority w:val="99"/>
    <w:rPr>
      <w:rFonts w:ascii="Times New Roman" w:hAnsi="Times New Roman" w:cs="Times New Roman"/>
      <w:kern w:val="0"/>
      <w:sz w:val="18"/>
      <w:szCs w:val="18"/>
    </w:rPr>
  </w:style>
  <w:style w:type="paragraph" w:styleId="19">
    <w:name w:val="footer"/>
    <w:basedOn w:val="1"/>
    <w:link w:val="47"/>
    <w:unhideWhenUsed/>
    <w:qFormat/>
    <w:uiPriority w:val="99"/>
    <w:pPr>
      <w:tabs>
        <w:tab w:val="center" w:pos="4153"/>
        <w:tab w:val="right" w:pos="8306"/>
      </w:tabs>
      <w:snapToGrid w:val="0"/>
      <w:jc w:val="left"/>
    </w:pPr>
    <w:rPr>
      <w:rFonts w:ascii="Times New Roman" w:hAnsi="Times New Roman" w:cs="Times New Roman"/>
      <w:kern w:val="0"/>
      <w:sz w:val="18"/>
      <w:szCs w:val="18"/>
    </w:rPr>
  </w:style>
  <w:style w:type="paragraph" w:styleId="20">
    <w:name w:val="header"/>
    <w:basedOn w:val="1"/>
    <w:link w:val="46"/>
    <w:unhideWhenUsed/>
    <w:qFormat/>
    <w:uiPriority w:val="99"/>
    <w:pPr>
      <w:pBdr>
        <w:bottom w:val="single" w:color="auto" w:sz="6" w:space="1"/>
      </w:pBdr>
      <w:tabs>
        <w:tab w:val="center" w:pos="4153"/>
        <w:tab w:val="right" w:pos="8306"/>
      </w:tabs>
      <w:snapToGrid w:val="0"/>
      <w:jc w:val="center"/>
    </w:pPr>
    <w:rPr>
      <w:rFonts w:ascii="Times New Roman" w:hAnsi="Times New Roman" w:cs="Times New Roman"/>
      <w:kern w:val="0"/>
      <w:sz w:val="18"/>
      <w:szCs w:val="18"/>
    </w:rPr>
  </w:style>
  <w:style w:type="paragraph" w:styleId="21">
    <w:name w:val="toc 1"/>
    <w:basedOn w:val="1"/>
    <w:next w:val="1"/>
    <w:unhideWhenUsed/>
    <w:qFormat/>
    <w:uiPriority w:val="39"/>
    <w:pPr>
      <w:spacing w:before="120" w:after="120"/>
      <w:jc w:val="left"/>
    </w:pPr>
    <w:rPr>
      <w:b/>
      <w:bCs/>
      <w:caps/>
      <w:sz w:val="20"/>
      <w:szCs w:val="20"/>
    </w:rPr>
  </w:style>
  <w:style w:type="paragraph" w:styleId="22">
    <w:name w:val="toc 4"/>
    <w:basedOn w:val="1"/>
    <w:next w:val="1"/>
    <w:unhideWhenUsed/>
    <w:qFormat/>
    <w:uiPriority w:val="39"/>
    <w:pPr>
      <w:ind w:left="630"/>
      <w:jc w:val="left"/>
    </w:pPr>
    <w:rPr>
      <w:sz w:val="18"/>
      <w:szCs w:val="18"/>
    </w:rPr>
  </w:style>
  <w:style w:type="paragraph" w:styleId="23">
    <w:name w:val="footnote text"/>
    <w:basedOn w:val="1"/>
    <w:link w:val="49"/>
    <w:qFormat/>
    <w:uiPriority w:val="99"/>
    <w:pPr>
      <w:snapToGrid w:val="0"/>
      <w:jc w:val="left"/>
    </w:pPr>
    <w:rPr>
      <w:rFonts w:ascii="Times New Roman" w:hAnsi="Times New Roman" w:cs="Times New Roman"/>
      <w:kern w:val="0"/>
      <w:sz w:val="18"/>
      <w:szCs w:val="18"/>
    </w:rPr>
  </w:style>
  <w:style w:type="paragraph" w:styleId="24">
    <w:name w:val="toc 6"/>
    <w:basedOn w:val="1"/>
    <w:next w:val="1"/>
    <w:unhideWhenUsed/>
    <w:qFormat/>
    <w:uiPriority w:val="39"/>
    <w:pPr>
      <w:ind w:left="1050"/>
      <w:jc w:val="left"/>
    </w:pPr>
    <w:rPr>
      <w:sz w:val="18"/>
      <w:szCs w:val="18"/>
    </w:rPr>
  </w:style>
  <w:style w:type="paragraph" w:styleId="25">
    <w:name w:val="toc 2"/>
    <w:basedOn w:val="1"/>
    <w:next w:val="1"/>
    <w:unhideWhenUsed/>
    <w:qFormat/>
    <w:uiPriority w:val="39"/>
    <w:pPr>
      <w:ind w:left="210"/>
      <w:jc w:val="left"/>
    </w:pPr>
    <w:rPr>
      <w:smallCaps/>
      <w:sz w:val="20"/>
      <w:szCs w:val="20"/>
    </w:rPr>
  </w:style>
  <w:style w:type="paragraph" w:styleId="26">
    <w:name w:val="toc 9"/>
    <w:basedOn w:val="1"/>
    <w:next w:val="1"/>
    <w:unhideWhenUsed/>
    <w:qFormat/>
    <w:uiPriority w:val="39"/>
    <w:pPr>
      <w:ind w:left="1680"/>
      <w:jc w:val="left"/>
    </w:pPr>
    <w:rPr>
      <w:sz w:val="18"/>
      <w:szCs w:val="18"/>
    </w:rPr>
  </w:style>
  <w:style w:type="paragraph" w:styleId="27">
    <w:name w:val="Title"/>
    <w:basedOn w:val="1"/>
    <w:next w:val="1"/>
    <w:link w:val="68"/>
    <w:qFormat/>
    <w:uiPriority w:val="10"/>
    <w:pPr>
      <w:spacing w:before="240" w:after="60"/>
      <w:jc w:val="center"/>
      <w:outlineLvl w:val="0"/>
    </w:pPr>
    <w:rPr>
      <w:rFonts w:ascii="Calibri Light" w:hAnsi="Calibri Light" w:cs="Times New Roman"/>
      <w:b/>
      <w:bCs/>
      <w:sz w:val="32"/>
      <w:szCs w:val="32"/>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endnote reference"/>
    <w:unhideWhenUsed/>
    <w:qFormat/>
    <w:uiPriority w:val="99"/>
    <w:rPr>
      <w:vertAlign w:val="superscript"/>
    </w:rPr>
  </w:style>
  <w:style w:type="character" w:styleId="32">
    <w:name w:val="Hyperlink"/>
    <w:unhideWhenUsed/>
    <w:qFormat/>
    <w:uiPriority w:val="99"/>
    <w:rPr>
      <w:color w:val="0000FF"/>
      <w:u w:val="single"/>
    </w:rPr>
  </w:style>
  <w:style w:type="character" w:styleId="33">
    <w:name w:val="footnote reference"/>
    <w:qFormat/>
    <w:uiPriority w:val="99"/>
    <w:rPr>
      <w:vertAlign w:val="superscript"/>
    </w:rPr>
  </w:style>
  <w:style w:type="paragraph" w:customStyle="1" w:styleId="34">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35">
    <w:name w:val="N1"/>
    <w:basedOn w:val="1"/>
    <w:qFormat/>
    <w:uiPriority w:val="0"/>
    <w:pPr>
      <w:numPr>
        <w:ilvl w:val="0"/>
        <w:numId w:val="2"/>
      </w:numPr>
      <w:adjustRightInd w:val="0"/>
      <w:ind w:firstLine="200" w:firstLineChars="200"/>
    </w:pPr>
    <w:rPr>
      <w:rFonts w:ascii="Times New Roman" w:hAnsi="Times New Roman" w:cs="Times New Roman"/>
    </w:rPr>
  </w:style>
  <w:style w:type="paragraph" w:customStyle="1" w:styleId="36">
    <w:name w:val="N2"/>
    <w:basedOn w:val="1"/>
    <w:qFormat/>
    <w:uiPriority w:val="0"/>
    <w:pPr>
      <w:numPr>
        <w:ilvl w:val="1"/>
        <w:numId w:val="2"/>
      </w:numPr>
      <w:adjustRightInd w:val="0"/>
      <w:ind w:firstLine="200" w:firstLineChars="200"/>
    </w:pPr>
    <w:rPr>
      <w:rFonts w:ascii="Times New Roman" w:hAnsi="Times New Roman" w:cs="Times New Roman"/>
    </w:rPr>
  </w:style>
  <w:style w:type="paragraph" w:customStyle="1" w:styleId="37">
    <w:name w:val="N3"/>
    <w:basedOn w:val="1"/>
    <w:qFormat/>
    <w:uiPriority w:val="0"/>
    <w:pPr>
      <w:numPr>
        <w:ilvl w:val="2"/>
        <w:numId w:val="2"/>
      </w:numPr>
      <w:adjustRightInd w:val="0"/>
    </w:pPr>
    <w:rPr>
      <w:rFonts w:ascii="Times New Roman" w:hAnsi="Times New Roman" w:cs="Times New Roman"/>
    </w:rPr>
  </w:style>
  <w:style w:type="paragraph" w:customStyle="1" w:styleId="38">
    <w:name w:val="N4"/>
    <w:basedOn w:val="1"/>
    <w:qFormat/>
    <w:uiPriority w:val="0"/>
    <w:pPr>
      <w:numPr>
        <w:ilvl w:val="3"/>
        <w:numId w:val="2"/>
      </w:numPr>
      <w:adjustRightInd w:val="0"/>
    </w:pPr>
    <w:rPr>
      <w:rFonts w:ascii="Times New Roman" w:hAnsi="Times New Roman" w:cs="Times New Roman"/>
    </w:rPr>
  </w:style>
  <w:style w:type="paragraph" w:customStyle="1" w:styleId="39">
    <w:name w:val="N5"/>
    <w:basedOn w:val="1"/>
    <w:qFormat/>
    <w:uiPriority w:val="0"/>
    <w:pPr>
      <w:numPr>
        <w:ilvl w:val="4"/>
        <w:numId w:val="2"/>
      </w:numPr>
      <w:adjustRightInd w:val="0"/>
      <w:ind w:firstLine="200" w:firstLineChars="200"/>
    </w:pPr>
    <w:rPr>
      <w:rFonts w:ascii="Times New Roman" w:hAnsi="Times New Roman" w:cs="Times New Roman"/>
    </w:rPr>
  </w:style>
  <w:style w:type="paragraph" w:customStyle="1" w:styleId="40">
    <w:name w:val="N6"/>
    <w:basedOn w:val="1"/>
    <w:qFormat/>
    <w:uiPriority w:val="0"/>
    <w:pPr>
      <w:numPr>
        <w:ilvl w:val="5"/>
        <w:numId w:val="2"/>
      </w:numPr>
      <w:adjustRightInd w:val="0"/>
      <w:ind w:firstLine="200" w:firstLineChars="200"/>
    </w:pPr>
    <w:rPr>
      <w:rFonts w:ascii="Times New Roman" w:hAnsi="Times New Roman" w:cs="Times New Roman"/>
    </w:rPr>
  </w:style>
  <w:style w:type="paragraph" w:customStyle="1" w:styleId="41">
    <w:name w:val="N7"/>
    <w:basedOn w:val="1"/>
    <w:qFormat/>
    <w:uiPriority w:val="0"/>
    <w:pPr>
      <w:numPr>
        <w:ilvl w:val="6"/>
        <w:numId w:val="2"/>
      </w:numPr>
      <w:adjustRightInd w:val="0"/>
      <w:ind w:firstLine="200" w:firstLineChars="200"/>
    </w:pPr>
    <w:rPr>
      <w:rFonts w:ascii="Times New Roman" w:hAnsi="Times New Roman" w:cs="Times New Roman"/>
    </w:rPr>
  </w:style>
  <w:style w:type="paragraph" w:customStyle="1" w:styleId="42">
    <w:name w:val="列出段落1"/>
    <w:basedOn w:val="1"/>
    <w:qFormat/>
    <w:uiPriority w:val="34"/>
    <w:pPr>
      <w:numPr>
        <w:ilvl w:val="2"/>
        <w:numId w:val="1"/>
      </w:numPr>
      <w:spacing w:beforeLines="50"/>
    </w:pPr>
  </w:style>
  <w:style w:type="character" w:customStyle="1" w:styleId="43">
    <w:name w:val="标题 1 Char"/>
    <w:link w:val="2"/>
    <w:qFormat/>
    <w:uiPriority w:val="9"/>
    <w:rPr>
      <w:rFonts w:eastAsia="黑体"/>
      <w:b/>
      <w:bCs/>
      <w:kern w:val="44"/>
      <w:sz w:val="32"/>
      <w:szCs w:val="44"/>
    </w:rPr>
  </w:style>
  <w:style w:type="character" w:customStyle="1" w:styleId="44">
    <w:name w:val="标题 2 Char"/>
    <w:link w:val="3"/>
    <w:qFormat/>
    <w:uiPriority w:val="9"/>
    <w:rPr>
      <w:rFonts w:eastAsia="黑体"/>
      <w:b/>
      <w:kern w:val="2"/>
      <w:sz w:val="28"/>
      <w:szCs w:val="32"/>
    </w:rPr>
  </w:style>
  <w:style w:type="character" w:customStyle="1" w:styleId="45">
    <w:name w:val="标题 3 Char"/>
    <w:link w:val="4"/>
    <w:qFormat/>
    <w:uiPriority w:val="9"/>
    <w:rPr>
      <w:bCs/>
      <w:kern w:val="2"/>
      <w:sz w:val="21"/>
      <w:szCs w:val="32"/>
      <w:lang w:bidi="ar-SA"/>
    </w:rPr>
  </w:style>
  <w:style w:type="character" w:customStyle="1" w:styleId="46">
    <w:name w:val="页眉 Char"/>
    <w:link w:val="20"/>
    <w:qFormat/>
    <w:uiPriority w:val="99"/>
    <w:rPr>
      <w:sz w:val="18"/>
      <w:szCs w:val="18"/>
    </w:rPr>
  </w:style>
  <w:style w:type="character" w:customStyle="1" w:styleId="47">
    <w:name w:val="页脚 Char"/>
    <w:link w:val="19"/>
    <w:qFormat/>
    <w:uiPriority w:val="99"/>
    <w:rPr>
      <w:sz w:val="18"/>
      <w:szCs w:val="18"/>
    </w:rPr>
  </w:style>
  <w:style w:type="character" w:customStyle="1" w:styleId="48">
    <w:name w:val="atn"/>
    <w:basedOn w:val="30"/>
    <w:qFormat/>
    <w:uiPriority w:val="0"/>
  </w:style>
  <w:style w:type="character" w:customStyle="1" w:styleId="49">
    <w:name w:val="脚注文本 Char"/>
    <w:link w:val="23"/>
    <w:qFormat/>
    <w:uiPriority w:val="99"/>
    <w:rPr>
      <w:rFonts w:ascii="Times New Roman" w:hAnsi="Times New Roman" w:eastAsia="宋体" w:cs="Times New Roman"/>
      <w:sz w:val="18"/>
      <w:szCs w:val="18"/>
    </w:rPr>
  </w:style>
  <w:style w:type="character" w:customStyle="1" w:styleId="50">
    <w:name w:val="short_text"/>
    <w:basedOn w:val="30"/>
    <w:qFormat/>
    <w:uiPriority w:val="0"/>
  </w:style>
  <w:style w:type="character" w:customStyle="1" w:styleId="51">
    <w:name w:val="hps"/>
    <w:basedOn w:val="30"/>
    <w:qFormat/>
    <w:uiPriority w:val="0"/>
  </w:style>
  <w:style w:type="character" w:customStyle="1" w:styleId="52">
    <w:name w:val="日期 Char"/>
    <w:basedOn w:val="30"/>
    <w:link w:val="16"/>
    <w:semiHidden/>
    <w:qFormat/>
    <w:uiPriority w:val="99"/>
  </w:style>
  <w:style w:type="character" w:customStyle="1" w:styleId="53">
    <w:name w:val="标题 4 Char"/>
    <w:link w:val="5"/>
    <w:qFormat/>
    <w:uiPriority w:val="9"/>
    <w:rPr>
      <w:rFonts w:ascii="Calibri Light" w:hAnsi="Calibri Light"/>
      <w:bCs/>
      <w:kern w:val="2"/>
      <w:sz w:val="21"/>
      <w:szCs w:val="28"/>
    </w:rPr>
  </w:style>
  <w:style w:type="character" w:customStyle="1" w:styleId="54">
    <w:name w:val="标题 5 Char"/>
    <w:link w:val="6"/>
    <w:qFormat/>
    <w:uiPriority w:val="9"/>
    <w:rPr>
      <w:rFonts w:ascii="Calibri" w:hAnsi="Calibri"/>
      <w:bCs/>
      <w:kern w:val="2"/>
      <w:sz w:val="21"/>
      <w:szCs w:val="28"/>
    </w:rPr>
  </w:style>
  <w:style w:type="character" w:customStyle="1" w:styleId="55">
    <w:name w:val="批注框文本 Char"/>
    <w:link w:val="18"/>
    <w:semiHidden/>
    <w:qFormat/>
    <w:uiPriority w:val="99"/>
    <w:rPr>
      <w:sz w:val="18"/>
      <w:szCs w:val="18"/>
    </w:rPr>
  </w:style>
  <w:style w:type="character" w:customStyle="1" w:styleId="56">
    <w:name w:val="尾注文本 Char"/>
    <w:basedOn w:val="30"/>
    <w:link w:val="17"/>
    <w:semiHidden/>
    <w:qFormat/>
    <w:uiPriority w:val="99"/>
  </w:style>
  <w:style w:type="table" w:customStyle="1" w:styleId="57">
    <w:name w:val="网格型1"/>
    <w:basedOn w:val="2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
    <w:name w:val="网格型2"/>
    <w:basedOn w:val="2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
    <w:name w:val="网格型3"/>
    <w:basedOn w:val="2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0">
    <w:name w:val="List Paragraph"/>
    <w:basedOn w:val="1"/>
    <w:unhideWhenUsed/>
    <w:qFormat/>
    <w:uiPriority w:val="34"/>
    <w:pPr>
      <w:ind w:firstLine="420" w:firstLineChars="200"/>
    </w:pPr>
  </w:style>
  <w:style w:type="character" w:customStyle="1" w:styleId="61">
    <w:name w:val="标题 6 Char"/>
    <w:link w:val="7"/>
    <w:qFormat/>
    <w:uiPriority w:val="9"/>
    <w:rPr>
      <w:rFonts w:ascii="Cambria" w:hAnsi="Cambria"/>
      <w:bCs/>
      <w:kern w:val="2"/>
      <w:sz w:val="21"/>
      <w:szCs w:val="24"/>
    </w:rPr>
  </w:style>
  <w:style w:type="table" w:customStyle="1" w:styleId="62">
    <w:name w:val="网格型4"/>
    <w:basedOn w:val="28"/>
    <w:qFormat/>
    <w:uiPriority w:val="59"/>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3">
    <w:name w:val="A2"/>
    <w:qFormat/>
    <w:uiPriority w:val="99"/>
    <w:rPr>
      <w:color w:val="000000"/>
    </w:rPr>
  </w:style>
  <w:style w:type="paragraph" w:customStyle="1" w:styleId="64">
    <w:name w:val="Pa5"/>
    <w:basedOn w:val="1"/>
    <w:next w:val="1"/>
    <w:qFormat/>
    <w:uiPriority w:val="99"/>
    <w:pPr>
      <w:autoSpaceDE w:val="0"/>
      <w:autoSpaceDN w:val="0"/>
      <w:adjustRightInd w:val="0"/>
      <w:spacing w:line="185" w:lineRule="atLeast"/>
      <w:jc w:val="left"/>
    </w:pPr>
    <w:rPr>
      <w:rFonts w:ascii="宋体" w:cs="Times New Roman"/>
      <w:kern w:val="0"/>
      <w:sz w:val="24"/>
      <w:szCs w:val="24"/>
    </w:rPr>
  </w:style>
  <w:style w:type="paragraph" w:customStyle="1" w:styleId="65">
    <w:name w:val="Pa4"/>
    <w:basedOn w:val="1"/>
    <w:next w:val="1"/>
    <w:qFormat/>
    <w:uiPriority w:val="99"/>
    <w:pPr>
      <w:autoSpaceDE w:val="0"/>
      <w:autoSpaceDN w:val="0"/>
      <w:adjustRightInd w:val="0"/>
      <w:spacing w:line="185" w:lineRule="atLeast"/>
      <w:jc w:val="left"/>
    </w:pPr>
    <w:rPr>
      <w:rFonts w:ascii="Times New Roman" w:hAnsi="Times New Roman" w:cs="Times New Roman"/>
      <w:kern w:val="0"/>
      <w:sz w:val="24"/>
      <w:szCs w:val="24"/>
    </w:rPr>
  </w:style>
  <w:style w:type="paragraph" w:customStyle="1" w:styleId="66">
    <w:name w:val="Pa6"/>
    <w:basedOn w:val="1"/>
    <w:next w:val="1"/>
    <w:qFormat/>
    <w:uiPriority w:val="99"/>
    <w:pPr>
      <w:autoSpaceDE w:val="0"/>
      <w:autoSpaceDN w:val="0"/>
      <w:adjustRightInd w:val="0"/>
      <w:spacing w:line="241" w:lineRule="atLeast"/>
      <w:jc w:val="left"/>
    </w:pPr>
    <w:rPr>
      <w:rFonts w:ascii="宋体" w:cs="Times New Roman"/>
      <w:kern w:val="0"/>
      <w:sz w:val="24"/>
      <w:szCs w:val="24"/>
    </w:rPr>
  </w:style>
  <w:style w:type="paragraph" w:customStyle="1" w:styleId="67">
    <w:name w:val="Pa62"/>
    <w:basedOn w:val="1"/>
    <w:next w:val="1"/>
    <w:qFormat/>
    <w:uiPriority w:val="99"/>
    <w:pPr>
      <w:autoSpaceDE w:val="0"/>
      <w:autoSpaceDN w:val="0"/>
      <w:adjustRightInd w:val="0"/>
      <w:spacing w:line="241" w:lineRule="atLeast"/>
      <w:jc w:val="left"/>
    </w:pPr>
    <w:rPr>
      <w:rFonts w:ascii="宋体" w:cs="Times New Roman"/>
      <w:kern w:val="0"/>
      <w:sz w:val="24"/>
      <w:szCs w:val="24"/>
    </w:rPr>
  </w:style>
  <w:style w:type="character" w:customStyle="1" w:styleId="68">
    <w:name w:val="标题 Char"/>
    <w:link w:val="27"/>
    <w:qFormat/>
    <w:uiPriority w:val="10"/>
    <w:rPr>
      <w:rFonts w:ascii="Calibri Light" w:hAnsi="Calibri Light" w:cs="Times New Roman"/>
      <w:b/>
      <w:bCs/>
      <w:kern w:val="2"/>
      <w:sz w:val="32"/>
      <w:szCs w:val="32"/>
    </w:rPr>
  </w:style>
  <w:style w:type="character" w:customStyle="1" w:styleId="69">
    <w:name w:val="标题 7 Char"/>
    <w:link w:val="8"/>
    <w:qFormat/>
    <w:uiPriority w:val="9"/>
    <w:rPr>
      <w:rFonts w:ascii="Calibri" w:hAnsi="Calibri"/>
      <w:bCs/>
      <w:kern w:val="2"/>
      <w:sz w:val="21"/>
      <w:szCs w:val="24"/>
    </w:rPr>
  </w:style>
  <w:style w:type="character" w:customStyle="1" w:styleId="70">
    <w:name w:val="文档结构图 Char"/>
    <w:link w:val="10"/>
    <w:semiHidden/>
    <w:qFormat/>
    <w:uiPriority w:val="0"/>
    <w:rPr>
      <w:rFonts w:ascii="宋体" w:hAnsi="Calibri" w:cs="黑体"/>
      <w:kern w:val="2"/>
      <w:sz w:val="18"/>
      <w:szCs w:val="18"/>
    </w:rPr>
  </w:style>
  <w:style w:type="paragraph" w:customStyle="1" w:styleId="71">
    <w:name w:val="部分"/>
    <w:basedOn w:val="1"/>
    <w:qFormat/>
    <w:uiPriority w:val="0"/>
    <w:pPr>
      <w:jc w:val="center"/>
      <w:outlineLvl w:val="1"/>
    </w:pPr>
    <w:rPr>
      <w:rFonts w:hint="eastAsia" w:ascii="楷体" w:hAnsi="楷体" w:eastAsia="楷体" w:cs="Times New Roman"/>
      <w:sz w:val="28"/>
      <w:szCs w:val="28"/>
    </w:rPr>
  </w:style>
  <w:style w:type="paragraph" w:customStyle="1" w:styleId="72">
    <w:name w:val="章"/>
    <w:basedOn w:val="1"/>
    <w:qFormat/>
    <w:uiPriority w:val="0"/>
    <w:pPr>
      <w:jc w:val="center"/>
    </w:pPr>
    <w:rPr>
      <w:rFonts w:hint="eastAsia" w:ascii="黑体" w:hAnsi="黑体" w:eastAsia="黑体" w:cs="黑体"/>
      <w:sz w:val="32"/>
      <w:szCs w:val="3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wmf"/><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4C2444-1A76-4C14-A1F9-55973CBD5E84}">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11</Pages>
  <Words>5743</Words>
  <Characters>7091</Characters>
  <Lines>600</Lines>
  <Paragraphs>169</Paragraphs>
  <TotalTime>0</TotalTime>
  <ScaleCrop>false</ScaleCrop>
  <LinksUpToDate>false</LinksUpToDate>
  <CharactersWithSpaces>7672</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2015-11-26T07:25:00Z</dcterms:created>
  <dc:creator>gzshi</dc:creator>
  <cp:lastModifiedBy>Bichun</cp:lastModifiedBy>
  <cp:lastPrinted>2015-10-16T03:04:00Z</cp:lastPrinted>
  <dcterms:modified xsi:type="dcterms:W3CDTF">2022-07-05T10:12:58Z</dcterms:modified>
  <dc:title>附件 22</dc:title>
  <cp:revision>315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y fmtid="{D5CDD505-2E9C-101B-9397-08002B2CF9AE}" pid="3" name="ICV">
    <vt:lpwstr>5B8D6947AE50458F80963F23D281969E</vt:lpwstr>
  </property>
</Properties>
</file>